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immune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New main-text Table 1 compares patients, slides, endpoint classes, representation, patient aggregation, validation, site sensitivity, external validation, negative/ineligible reporting and fitted-predictor availability. The abstract and Discussion now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site sensitivity, continuous immune/genomic-context modelling and compact fitted-model distribution. The comparison is also released as data/reference/pan_cancer_benchmark_comparison.csv.</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Audit comment: site-grouped validation was underreported</w:t>
      </w:r>
    </w:p>
    <w:p>
      <w:r>
        <w:t>Addressed. We now report both the median change and threshold retention. 83/323 screen-positive models (25.7%) fell below the original effect threshold under hospital-grouped folds: 58/219 continuous and 25/104 binary models. Named examples include READ–APC (balanced accuracy 0.862 to 0.495), COAD–APC (0.793 to 0.543), and COAD–SNV Neoantigens (Q² 0.239 to −0.013). The text acknowledges that smaller and uneven grouped training folds explain part of the decrease but treats near-chance APC results as site-sensitive. Complete target-level results are added as Table S10b and CSV.</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Addressed with a same-fold repeated nested benchmark of the 24 highlighted models against ridge Gaussian or logistic regression. Median ridge-minus-PLS differences were 0.014 Q² for continuous and 0.007 balanced accuracy for binary models. Paired intervals favoured ridge for seven continuous and two binary models, PLS for two continuous and one binary model, and were uncertain for the remaining 12. We therefore state that PLS is competitive but not uniformly superior. Because the benchmark is conditional on PLS-based endpoint highlighting, the prespecified PLS workflow is retained rather than adding post-selection method switching. Ridge was selected as the baseline because its fitted coefficients are portable without retaining training embeddings; the full repeated results and uncertainty are supplied in Table S10c and CSV.</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site sensitivity and deployable fitted models.</w:t>
      </w:r>
    </w:p>
    <w:p>
      <w:pPr>
        <w:pStyle w:val="Heading1"/>
      </w:pPr>
      <w:r>
        <w:t>Audit comment: binary percentiles could be mistaken for probabilities and small classes were not visible</w:t>
      </w:r>
    </w:p>
    <w:p>
      <w:r>
        <w:t>Addressed by relabelling rather than adding an unevaluated post-hoc calibration layer. Binary displays and tables now use 'TCGA out-of-fold score rank (not probability)', retain the raw uncalibrated LDA score and class call, and show training n, positive and negative counts, prevalence, repeated-CV balanced accuracy and AUROC. A warning is emitted and printed when either development class contains fewer than 50 patients. The 20-per-class modelling eligibility rule is unchanged. Proper probability calibration remains future work requiring independently evaluated or fully nested calibration.</w:t>
      </w:r>
    </w:p>
    <w:p>
      <w:pPr>
        <w:pStyle w:val="Heading1"/>
      </w:pPr>
      <w:r>
        <w:t>1. Across-cancer multiplicity and permutation resolution</w:t>
      </w:r>
    </w:p>
    <w:p>
      <w:r>
        <w:t>Addressed. Every effect-eligible endpoint is refined toward 999 patient-label permutations with a conservative stopping boundary of 49 exceedances, minimum completed-test resolution 0.001, and exact attempted counts retained. Both the prespecified within-cancer family q-value and the stricter across-cancer family q-value are reported. The abstract, figures and Discussion state that 219 continuous and 39 cancer–mutation pairs passed the stricter correction; all remaining within-cancer results are framed as cancer-specific discovery candidates. We now also state explicitly that the 0.001 resolution limits attainable q-values in large global families, so non-passage is not evidence of absence.</w:t>
      </w:r>
    </w:p>
    <w:p>
      <w:pPr>
        <w:pStyle w:val="Heading1"/>
      </w:pPr>
      <w:r>
        <w:t>2. External validation is the principal unresolved limitation</w:t>
      </w:r>
    </w:p>
    <w:p>
      <w:r>
        <w:t>We agree. No independent cohort containing compatible precomputed TITAN embeddings together with the mutation, immune, pathway, MSI, aneuploidy and fusion labels was identified. We therefore do not describe the models as externally validated. The title, abstract, intended-use statement, Discussion and Conclusions explicitly frame the work as an internally validated hypothesis-generation resource. We added site-grouped validation, saved research models and executable inference code to facilitate future external testing, but state that these do not substitute for external validation.</w:t>
      </w:r>
    </w:p>
    <w:p>
      <w:pPr>
        <w:pStyle w:val="Heading1"/>
      </w:pPr>
      <w:r>
        <w:t>3. Site robustness is incomplete for the inflammatory atlas</w:t>
      </w:r>
    </w:p>
    <w:p>
      <w:r>
        <w:t>Addressed. Tissue-source-site-grouped validation is now attempted for every within-cancer screen-positive continuous and binary endpoint, not only mutations. It was feasible for 323 models. Figure 6 and the complete machine-readable tables report target-level attenuation; the manuscript does not claim that repeated random folds exclude site confounding.</w:t>
      </w:r>
    </w:p>
    <w:p>
      <w:pPr>
        <w:pStyle w:val="Heading1"/>
      </w:pPr>
      <w:r>
        <w:t>4. Reproducibility materials must be deposited before submission</w:t>
      </w:r>
    </w:p>
    <w:p>
      <w:r>
        <w:t>Addressed in two public repositories: the analysis repository (https://github.com/tkcaccia/titan-prediction) contains the exact analysis plan, source URLs/checksums, software commit, eligibility tables, code for every analysis and figure, out-of-fold prediction outputs and literature crosswalk; the TITANPred package repository (https://github.com/tkcaccia/TITANPred) distributes all 323 fitted models, their SHA-256 registry, inference interface, repeated out-of-fold reference distributions and HTML/PDF report template. An archived versioned release with a persistent DOI remains to be created before submission.</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patient-cluster bootstrap intervals. Deployment metadata include feature checksums and ranges, class coding and priors, decision rule, calibration status, external-validation status and intended use. Figure 4 compares held-out predictions directly with observed data. The two illustrative COAD single-sample reports are supplied as separate PDF attachments (Additional files 2 and 3).</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Additional change: terminology and global multiplicity</w:t>
      </w:r>
    </w:p>
    <w:p>
      <w:r>
        <w:t>Tier labels are replaced in the narrative and display headings by within-cancer higher-effect, moderate-effect and screen-negative categories. The abstract, Results and Discussion report explicitly that 219 continuous and 39 cancer–mutation pairs passed the stricter across-cancer correction.</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Discussion now states that repeated nested-CV estimates and patient-cluster bootstrap intervals are conditional on endpoint selection in the same TCGA benchmark. They do not remove winner's-curse optimism and are not presented as external-performance intervals.</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