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using patient-level nested PLS1 or PLS–LDA. Effect-eligible models underwent 999 complete-process permutations with conservative stopping, exact Monte Carlo intervals and Benjamini–Hochberg corrections locally, across cancers and atlas-wide. Eight prespecified leading models were extended to 9,999 permutations.</w:t>
      </w:r>
    </w:p>
    <w:p>
      <w:r>
        <w:rPr>
          <w:b/>
        </w:rPr>
        <w:t xml:space="preserve">Results. </w:t>
      </w:r>
      <w:r>
        <w:t>Within-cancer screening identified 219 continuous and 104 binary higher- or moderate-effect candidates. A stricter ≥50-per-class sensitivity retained 87/104 binary candidates; 17 smaller-class models were separated as exploratory and excluded from default inference. Highlighted repeated-CV results included TGCT–TGF-beta Response (Q² 0.670, selection-conditioned 95% patient-resampling interval 0.573–0.741; RMSE 0.303, Spearman 0.791) and LGG–TP53 (sensitivity 0.839, specificity 0.885, balanced accuracy 0.862, selection-conditioned 95% patient-resampling interval 0.833–0.888; AUROC 0.908). Prior studies supported 38/41 screen-positive cancer–gene pairs. 320/323 local candidates passed single BH correction across all 2,073 eligible tests. Tissue-source-site grouping reduced 83/323 candidates (25.7%) below the original effect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constructs compact fitted predictors with research-use provenance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 artifacts currently access-controlled and not claimed as publicly released</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Models are ordered by effect magnitude, with repeated and site-grouped stability reported alongside; tied permutation q-values are not used for ranking. These categories prioritise candidates for further testing and are not clinical grades.</w:t>
      </w:r>
    </w:p>
    <w:p>
      <w:pPr>
        <w:pStyle w:val="Heading2"/>
      </w:pPr>
      <w:r>
        <w:t>Robustness and saved models</w:t>
      </w:r>
    </w:p>
    <w:p>
      <w:r>
        <w:t>Only endpoints passing the initial atlas screen entered five independently seeded repeated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site, scanner and population variation. Tissue-source-site-grouped validation assigned all patients sharing a two-character TCGA tissue-source-site code to the same outer fold. The same site constraint was passed to every inner component-selection split within the outer training set; thus neither outer performance estimation nor inner tuning divided a tissue-source site across folds. For every model and outer fold, we recorded test and training patients, sites,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submitting-site information, we treated tissue-source site as a multiclass outcome within each cancer. This dedicated confounding analysis retained sites with at least 10 patients, required at least two eligible sites per cancer, and used five independently seeded nested five-fold PLS–LDA validations with the same component range and rSVD controls. The primary metric was multiclass macro balanced accuracy (mean per-site recall); chance was 1/k for k analysed sites, and a chance-normalised value, (balanced accuracy − 1/k)/(1 − 1/k), was calculated for cross-cancer description. Patients from rare sites excluded from this site-classification analysis remained in all eligible molecular-endpoint analyses. This analysis tests whether the representation encodes TCGA submitting-site signatures; it does not identify their scanner, laboratory, staining or population causes.</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site sensitivity.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S1–S3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predictive effect magnitude, with repeated and site-grouped stability reported alongside; q-values are not used for ranking.</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among the 87 models with at least 50 positive and 50 negative patients. Point size represents the number of positive patients; colour indicates endpoint family and symbols report across-cancer correction status. The 17 exploratory/limited-evidence models are excluded from this main panel and shown separately in Supplementary Figure S3.</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binary reliability and tissue-source-site-grouped internal sensitivity. SC interval denotes the 95% selection-conditioned patient-resampling interval for repeated out-of-fold predictions: it resamples patients from five fixed prediction sets without repeating screening, fold generation, tuning or model fitting. Panel A reports discrimination/error metrics and grouped sensitivity. Panel B adds class-size and prevalence-dependent binary metrics. These intervals, grouped estimates and predictive values are internal to TCGA, not generalisation confidence intervals or external-validation results.</w:t>
      </w:r>
    </w:p>
    <w:p>
      <w:pPr>
        <w:pStyle w:val="Caption"/>
      </w:pPr>
      <w:r>
        <w:t>Panel A. Primary and secondary performance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r>
              <w:rPr>
                <w:b/>
                <w:sz w:val="17"/>
              </w:rPr>
              <w:t>Cancer–endpoint</w:t>
            </w:r>
          </w:p>
        </w:tc>
        <w:tc>
          <w:tcPr>
            <w:tcW w:type="dxa" w:w="1569"/>
          </w:tcPr>
          <w:p>
            <w:r>
              <w:rPr>
                <w:b/>
                <w:sz w:val="17"/>
              </w:rPr>
              <w:t>Type</w:t>
            </w:r>
          </w:p>
        </w:tc>
        <w:tc>
          <w:tcPr>
            <w:tcW w:type="dxa" w:w="1569"/>
          </w:tcPr>
          <w:p>
            <w:r>
              <w:rPr>
                <w:b/>
                <w:sz w:val="17"/>
              </w:rPr>
              <w:t>Q² or Se/Sp (95% SC interval)</w:t>
            </w:r>
          </w:p>
        </w:tc>
        <w:tc>
          <w:tcPr>
            <w:tcW w:type="dxa" w:w="1569"/>
          </w:tcPr>
          <w:p>
            <w:r>
              <w:rPr>
                <w:b/>
                <w:sz w:val="17"/>
              </w:rPr>
              <w:t>RMSE or BA (95% SC interval)</w:t>
            </w:r>
          </w:p>
        </w:tc>
        <w:tc>
          <w:tcPr>
            <w:tcW w:type="dxa" w:w="1569"/>
          </w:tcPr>
          <w:p>
            <w:r>
              <w:rPr>
                <w:b/>
                <w:sz w:val="17"/>
              </w:rPr>
              <w:t>Spearman or AUROC (95% SC interval)</w:t>
            </w:r>
          </w:p>
        </w:tc>
        <w:tc>
          <w:tcPr>
            <w:tcW w:type="dxa" w:w="1569"/>
          </w:tcPr>
          <w:p>
            <w:r>
              <w:rPr>
                <w:b/>
                <w:sz w:val="17"/>
              </w:rPr>
              <w:t>TSS-grouped metric/status</w:t>
            </w:r>
          </w:p>
        </w:tc>
      </w:tr>
      <w:tr>
        <w:trPr>
          <w:cantSplit/>
        </w:trPr>
        <w:tc>
          <w:tcPr>
            <w:tcW w:type="dxa" w:w="1569"/>
            <w:vAlign w:val="center"/>
          </w:tcPr>
          <w:p>
            <w:r>
              <w:rPr>
                <w:sz w:val="16"/>
              </w:rPr>
              <w:t>TGCT–TGF-beta Response</w:t>
            </w:r>
          </w:p>
        </w:tc>
        <w:tc>
          <w:tcPr>
            <w:tcW w:type="dxa" w:w="1569"/>
            <w:vAlign w:val="center"/>
          </w:tcPr>
          <w:p>
            <w:r>
              <w:rPr>
                <w:sz w:val="16"/>
              </w:rPr>
              <w:t>continuous</w:t>
            </w:r>
          </w:p>
        </w:tc>
        <w:tc>
          <w:tcPr>
            <w:tcW w:type="dxa" w:w="1569"/>
            <w:vAlign w:val="center"/>
          </w:tcPr>
          <w:p>
            <w:r>
              <w:rPr>
                <w:sz w:val="16"/>
              </w:rPr>
              <w:t>0.670 (0.573–0.741)</w:t>
            </w:r>
          </w:p>
        </w:tc>
        <w:tc>
          <w:tcPr>
            <w:tcW w:type="dxa" w:w="1569"/>
            <w:vAlign w:val="center"/>
          </w:tcPr>
          <w:p>
            <w:r>
              <w:rPr>
                <w:sz w:val="16"/>
              </w:rPr>
              <w:t>0.303 (0.269–0.337)</w:t>
            </w:r>
          </w:p>
        </w:tc>
        <w:tc>
          <w:tcPr>
            <w:tcW w:type="dxa" w:w="1569"/>
            <w:vAlign w:val="center"/>
          </w:tcPr>
          <w:p>
            <w:r>
              <w:rPr>
                <w:sz w:val="16"/>
              </w:rPr>
              <w:t>0.791 (0.713–0.842)</w:t>
            </w:r>
          </w:p>
        </w:tc>
        <w:tc>
          <w:tcPr>
            <w:tcW w:type="dxa" w:w="1569"/>
            <w:vAlign w:val="center"/>
          </w:tcPr>
          <w:p>
            <w:r>
              <w:rPr>
                <w:sz w:val="16"/>
              </w:rPr>
              <w:t xml:space="preserve">Q² NA; </w:t>
            </w:r>
          </w:p>
        </w:tc>
      </w:tr>
      <w:tr>
        <w:trPr>
          <w:cantSplit/>
        </w:trPr>
        <w:tc>
          <w:tcPr>
            <w:tcW w:type="dxa" w:w="1569"/>
            <w:vAlign w:val="center"/>
          </w:tcPr>
          <w:p>
            <w:r>
              <w:rPr>
                <w:sz w:val="16"/>
              </w:rPr>
              <w:t>THYM–Th17 Cells</w:t>
            </w:r>
          </w:p>
        </w:tc>
        <w:tc>
          <w:tcPr>
            <w:tcW w:type="dxa" w:w="1569"/>
            <w:vAlign w:val="center"/>
          </w:tcPr>
          <w:p>
            <w:r>
              <w:rPr>
                <w:sz w:val="16"/>
              </w:rPr>
              <w:t>continuous</w:t>
            </w:r>
          </w:p>
        </w:tc>
        <w:tc>
          <w:tcPr>
            <w:tcW w:type="dxa" w:w="1569"/>
            <w:vAlign w:val="center"/>
          </w:tcPr>
          <w:p>
            <w:r>
              <w:rPr>
                <w:sz w:val="16"/>
              </w:rPr>
              <w:t>0.594 (0.455–0.698)</w:t>
            </w:r>
          </w:p>
        </w:tc>
        <w:tc>
          <w:tcPr>
            <w:tcW w:type="dxa" w:w="1569"/>
            <w:vAlign w:val="center"/>
          </w:tcPr>
          <w:p>
            <w:r>
              <w:rPr>
                <w:sz w:val="16"/>
              </w:rPr>
              <w:t>1743.443 (1514.535–1979.481)</w:t>
            </w:r>
          </w:p>
        </w:tc>
        <w:tc>
          <w:tcPr>
            <w:tcW w:type="dxa" w:w="1569"/>
            <w:vAlign w:val="center"/>
          </w:tcPr>
          <w:p>
            <w:r>
              <w:rPr>
                <w:sz w:val="16"/>
              </w:rPr>
              <w:t>0.738 (0.636–0.811)</w:t>
            </w:r>
          </w:p>
        </w:tc>
        <w:tc>
          <w:tcPr>
            <w:tcW w:type="dxa" w:w="1569"/>
            <w:vAlign w:val="center"/>
          </w:tcPr>
          <w:p>
            <w:r>
              <w:rPr>
                <w:sz w:val="16"/>
              </w:rPr>
              <w:t xml:space="preserve">Q² NA; </w:t>
            </w:r>
          </w:p>
        </w:tc>
      </w:tr>
      <w:tr>
        <w:trPr>
          <w:cantSplit/>
        </w:trPr>
        <w:tc>
          <w:tcPr>
            <w:tcW w:type="dxa" w:w="1569"/>
            <w:vAlign w:val="center"/>
          </w:tcPr>
          <w:p>
            <w:r>
              <w:rPr>
                <w:sz w:val="16"/>
              </w:rPr>
              <w:t>THCA–Lymphocyte Infiltration Signature Score</w:t>
            </w:r>
          </w:p>
        </w:tc>
        <w:tc>
          <w:tcPr>
            <w:tcW w:type="dxa" w:w="1569"/>
            <w:vAlign w:val="center"/>
          </w:tcPr>
          <w:p>
            <w:r>
              <w:rPr>
                <w:sz w:val="16"/>
              </w:rPr>
              <w:t>continuous</w:t>
            </w:r>
          </w:p>
        </w:tc>
        <w:tc>
          <w:tcPr>
            <w:tcW w:type="dxa" w:w="1569"/>
            <w:vAlign w:val="center"/>
          </w:tcPr>
          <w:p>
            <w:r>
              <w:rPr>
                <w:sz w:val="16"/>
              </w:rPr>
              <w:t>0.577 (0.511–0.636)</w:t>
            </w:r>
          </w:p>
        </w:tc>
        <w:tc>
          <w:tcPr>
            <w:tcW w:type="dxa" w:w="1569"/>
            <w:vAlign w:val="center"/>
          </w:tcPr>
          <w:p>
            <w:r>
              <w:rPr>
                <w:sz w:val="16"/>
              </w:rPr>
              <w:t>0.781 (0.722–0.844)</w:t>
            </w:r>
          </w:p>
        </w:tc>
        <w:tc>
          <w:tcPr>
            <w:tcW w:type="dxa" w:w="1569"/>
            <w:vAlign w:val="center"/>
          </w:tcPr>
          <w:p>
            <w:r>
              <w:rPr>
                <w:sz w:val="16"/>
              </w:rPr>
              <w:t>0.742 (0.693–0.786)</w:t>
            </w:r>
          </w:p>
        </w:tc>
        <w:tc>
          <w:tcPr>
            <w:tcW w:type="dxa" w:w="1569"/>
            <w:vAlign w:val="center"/>
          </w:tcPr>
          <w:p>
            <w:r>
              <w:rPr>
                <w:sz w:val="16"/>
              </w:rPr>
              <w:t xml:space="preserve">Q² NA; </w:t>
            </w:r>
          </w:p>
        </w:tc>
      </w:tr>
      <w:tr>
        <w:trPr>
          <w:cantSplit/>
        </w:trPr>
        <w:tc>
          <w:tcPr>
            <w:tcW w:type="dxa" w:w="1569"/>
            <w:vAlign w:val="center"/>
          </w:tcPr>
          <w:p>
            <w:r>
              <w:rPr>
                <w:sz w:val="16"/>
              </w:rPr>
              <w:t>BRCA–Wound Healing</w:t>
            </w:r>
          </w:p>
        </w:tc>
        <w:tc>
          <w:tcPr>
            <w:tcW w:type="dxa" w:w="1569"/>
            <w:vAlign w:val="center"/>
          </w:tcPr>
          <w:p>
            <w:r>
              <w:rPr>
                <w:sz w:val="16"/>
              </w:rPr>
              <w:t>continuous</w:t>
            </w:r>
          </w:p>
        </w:tc>
        <w:tc>
          <w:tcPr>
            <w:tcW w:type="dxa" w:w="1569"/>
            <w:vAlign w:val="center"/>
          </w:tcPr>
          <w:p>
            <w:r>
              <w:rPr>
                <w:sz w:val="16"/>
              </w:rPr>
              <w:t>0.528 (0.483–0.569)</w:t>
            </w:r>
          </w:p>
        </w:tc>
        <w:tc>
          <w:tcPr>
            <w:tcW w:type="dxa" w:w="1569"/>
            <w:vAlign w:val="center"/>
          </w:tcPr>
          <w:p>
            <w:r>
              <w:rPr>
                <w:sz w:val="16"/>
              </w:rPr>
              <w:t>0.111 (0.106–0.116)</w:t>
            </w:r>
          </w:p>
        </w:tc>
        <w:tc>
          <w:tcPr>
            <w:tcW w:type="dxa" w:w="1569"/>
            <w:vAlign w:val="center"/>
          </w:tcPr>
          <w:p>
            <w:r>
              <w:rPr>
                <w:sz w:val="16"/>
              </w:rPr>
              <w:t>0.724 (0.694–0.753)</w:t>
            </w:r>
          </w:p>
        </w:tc>
        <w:tc>
          <w:tcPr>
            <w:tcW w:type="dxa" w:w="1569"/>
            <w:vAlign w:val="center"/>
          </w:tcPr>
          <w:p>
            <w:r>
              <w:rPr>
                <w:sz w:val="16"/>
              </w:rPr>
              <w:t xml:space="preserve">Q² NA; </w:t>
            </w:r>
          </w:p>
        </w:tc>
      </w:tr>
      <w:tr>
        <w:trPr>
          <w:cantSplit/>
        </w:trPr>
        <w:tc>
          <w:tcPr>
            <w:tcW w:type="dxa" w:w="1569"/>
            <w:vAlign w:val="center"/>
          </w:tcPr>
          <w:p>
            <w:r>
              <w:rPr>
                <w:sz w:val="16"/>
              </w:rPr>
              <w:t>LGG–TP53</w:t>
            </w:r>
          </w:p>
        </w:tc>
        <w:tc>
          <w:tcPr>
            <w:tcW w:type="dxa" w:w="1569"/>
            <w:vAlign w:val="center"/>
          </w:tcPr>
          <w:p>
            <w:r>
              <w:rPr>
                <w:sz w:val="16"/>
              </w:rPr>
              <w:t>binary</w:t>
            </w:r>
          </w:p>
        </w:tc>
        <w:tc>
          <w:tcPr>
            <w:tcW w:type="dxa" w:w="1569"/>
            <w:vAlign w:val="center"/>
          </w:tcPr>
          <w:p>
            <w:r>
              <w:rPr>
                <w:sz w:val="16"/>
              </w:rPr>
              <w:t>Se 0.839 (0.795–0.877); Sp 0.885 (0.848–0.920)</w:t>
            </w:r>
          </w:p>
        </w:tc>
        <w:tc>
          <w:tcPr>
            <w:tcW w:type="dxa" w:w="1569"/>
            <w:vAlign w:val="center"/>
          </w:tcPr>
          <w:p>
            <w:r>
              <w:rPr>
                <w:sz w:val="16"/>
              </w:rPr>
              <w:t>BA 0.862 (0.833–0.888)</w:t>
            </w:r>
          </w:p>
        </w:tc>
        <w:tc>
          <w:tcPr>
            <w:tcW w:type="dxa" w:w="1569"/>
            <w:vAlign w:val="center"/>
          </w:tcPr>
          <w:p>
            <w:r>
              <w:rPr>
                <w:sz w:val="16"/>
              </w:rPr>
              <w:t>AUROC 0.908 (0.880–0.932)</w:t>
            </w:r>
          </w:p>
        </w:tc>
        <w:tc>
          <w:tcPr>
            <w:tcW w:type="dxa" w:w="1569"/>
            <w:vAlign w:val="center"/>
          </w:tcPr>
          <w:p>
            <w:r>
              <w:rPr>
                <w:sz w:val="16"/>
              </w:rPr>
              <w:t xml:space="preserve">BA NA; </w:t>
            </w:r>
          </w:p>
        </w:tc>
      </w:tr>
      <w:tr>
        <w:trPr>
          <w:cantSplit/>
        </w:trPr>
        <w:tc>
          <w:tcPr>
            <w:tcW w:type="dxa" w:w="1569"/>
            <w:vAlign w:val="center"/>
          </w:tcPr>
          <w:p>
            <w:r>
              <w:rPr>
                <w:sz w:val="16"/>
              </w:rPr>
              <w:t>THYM–GTF2I</w:t>
            </w:r>
          </w:p>
        </w:tc>
        <w:tc>
          <w:tcPr>
            <w:tcW w:type="dxa" w:w="1569"/>
            <w:vAlign w:val="center"/>
          </w:tcPr>
          <w:p>
            <w:r>
              <w:rPr>
                <w:sz w:val="16"/>
              </w:rPr>
              <w:t>binary</w:t>
            </w:r>
          </w:p>
        </w:tc>
        <w:tc>
          <w:tcPr>
            <w:tcW w:type="dxa" w:w="1569"/>
            <w:vAlign w:val="center"/>
          </w:tcPr>
          <w:p>
            <w:r>
              <w:rPr>
                <w:sz w:val="16"/>
              </w:rPr>
              <w:t>Se 0.878 (0.804–0.940); Sp 0.839 (0.748–0.916)</w:t>
            </w:r>
          </w:p>
        </w:tc>
        <w:tc>
          <w:tcPr>
            <w:tcW w:type="dxa" w:w="1569"/>
            <w:vAlign w:val="center"/>
          </w:tcPr>
          <w:p>
            <w:r>
              <w:rPr>
                <w:sz w:val="16"/>
              </w:rPr>
              <w:t>BA 0.859 (0.803–0.905)</w:t>
            </w:r>
          </w:p>
        </w:tc>
        <w:tc>
          <w:tcPr>
            <w:tcW w:type="dxa" w:w="1569"/>
            <w:vAlign w:val="center"/>
          </w:tcPr>
          <w:p>
            <w:r>
              <w:rPr>
                <w:sz w:val="16"/>
              </w:rPr>
              <w:t>AUROC 0.907 (0.852–0.955)</w:t>
            </w:r>
          </w:p>
        </w:tc>
        <w:tc>
          <w:tcPr>
            <w:tcW w:type="dxa" w:w="1569"/>
            <w:vAlign w:val="center"/>
          </w:tcPr>
          <w:p>
            <w:r>
              <w:rPr>
                <w:sz w:val="16"/>
              </w:rPr>
              <w:t xml:space="preserve">BA NA; </w:t>
            </w:r>
          </w:p>
        </w:tc>
      </w:tr>
      <w:tr>
        <w:trPr>
          <w:cantSplit/>
        </w:trPr>
        <w:tc>
          <w:tcPr>
            <w:tcW w:type="dxa" w:w="1569"/>
            <w:vAlign w:val="center"/>
          </w:tcPr>
          <w:p>
            <w:r>
              <w:rPr>
                <w:sz w:val="16"/>
              </w:rPr>
              <w:t>READ–TP53</w:t>
            </w:r>
          </w:p>
        </w:tc>
        <w:tc>
          <w:tcPr>
            <w:tcW w:type="dxa" w:w="1569"/>
            <w:vAlign w:val="center"/>
          </w:tcPr>
          <w:p>
            <w:r>
              <w:rPr>
                <w:sz w:val="16"/>
              </w:rPr>
              <w:t>binary</w:t>
            </w:r>
          </w:p>
        </w:tc>
        <w:tc>
          <w:tcPr>
            <w:tcW w:type="dxa" w:w="1569"/>
            <w:vAlign w:val="center"/>
          </w:tcPr>
          <w:p>
            <w:r>
              <w:rPr>
                <w:sz w:val="16"/>
              </w:rPr>
              <w:t>Se 0.912 (0.855–0.966); Sp 0.803 (0.704–0.890)</w:t>
            </w:r>
          </w:p>
        </w:tc>
        <w:tc>
          <w:tcPr>
            <w:tcW w:type="dxa" w:w="1569"/>
            <w:vAlign w:val="center"/>
          </w:tcPr>
          <w:p>
            <w:r>
              <w:rPr>
                <w:sz w:val="16"/>
              </w:rPr>
              <w:t>BA 0.858 (0.801–0.910)</w:t>
            </w:r>
          </w:p>
        </w:tc>
        <w:tc>
          <w:tcPr>
            <w:tcW w:type="dxa" w:w="1569"/>
            <w:vAlign w:val="center"/>
          </w:tcPr>
          <w:p>
            <w:r>
              <w:rPr>
                <w:sz w:val="16"/>
              </w:rPr>
              <w:t>AUROC 0.912 (0.860–0.956)</w:t>
            </w:r>
          </w:p>
        </w:tc>
        <w:tc>
          <w:tcPr>
            <w:tcW w:type="dxa" w:w="1569"/>
            <w:vAlign w:val="center"/>
          </w:tcPr>
          <w:p>
            <w:r>
              <w:rPr>
                <w:sz w:val="16"/>
              </w:rPr>
              <w:t xml:space="preserve">BA NA; </w:t>
            </w:r>
          </w:p>
        </w:tc>
      </w:tr>
      <w:tr>
        <w:trPr>
          <w:cantSplit/>
        </w:trPr>
        <w:tc>
          <w:tcPr>
            <w:tcW w:type="dxa" w:w="1569"/>
            <w:vAlign w:val="center"/>
          </w:tcPr>
          <w:p>
            <w:r>
              <w:rPr>
                <w:sz w:val="16"/>
              </w:rPr>
              <w:t>THCA–BRAF</w:t>
            </w:r>
          </w:p>
        </w:tc>
        <w:tc>
          <w:tcPr>
            <w:tcW w:type="dxa" w:w="1569"/>
            <w:vAlign w:val="center"/>
          </w:tcPr>
          <w:p>
            <w:r>
              <w:rPr>
                <w:sz w:val="16"/>
              </w:rPr>
              <w:t>binary</w:t>
            </w:r>
          </w:p>
        </w:tc>
        <w:tc>
          <w:tcPr>
            <w:tcW w:type="dxa" w:w="1569"/>
            <w:vAlign w:val="center"/>
          </w:tcPr>
          <w:p>
            <w:r>
              <w:rPr>
                <w:sz w:val="16"/>
              </w:rPr>
              <w:t>Se 0.926 (0.897–0.952); Sp 0.747 (0.688–0.801)</w:t>
            </w:r>
          </w:p>
        </w:tc>
        <w:tc>
          <w:tcPr>
            <w:tcW w:type="dxa" w:w="1569"/>
            <w:vAlign w:val="center"/>
          </w:tcPr>
          <w:p>
            <w:r>
              <w:rPr>
                <w:sz w:val="16"/>
              </w:rPr>
              <w:t>BA 0.837 (0.805–0.866)</w:t>
            </w:r>
          </w:p>
        </w:tc>
        <w:tc>
          <w:tcPr>
            <w:tcW w:type="dxa" w:w="1569"/>
            <w:vAlign w:val="center"/>
          </w:tcPr>
          <w:p>
            <w:r>
              <w:rPr>
                <w:sz w:val="16"/>
              </w:rPr>
              <w:t>AUROC 0.894 (0.862–0.924)</w:t>
            </w:r>
          </w:p>
        </w:tc>
        <w:tc>
          <w:tcPr>
            <w:tcW w:type="dxa" w:w="1569"/>
            <w:vAlign w:val="center"/>
          </w:tcPr>
          <w:p>
            <w:r>
              <w:rPr>
                <w:sz w:val="16"/>
              </w:rPr>
              <w:t xml:space="preserve">BA NA; </w:t>
            </w:r>
          </w:p>
        </w:tc>
      </w:tr>
    </w:tbl>
    <w:p/>
    <w:p>
      <w:pPr>
        <w:pStyle w:val="Caption"/>
      </w:pPr>
      <w:r>
        <w:t>Panel B. Binary class-size and prevalence-dependent reliability metrics.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2098"/>
          </w:tcPr>
          <w:p>
            <w:r>
              <w:rPr>
                <w:b/>
                <w:sz w:val="17"/>
              </w:rPr>
              <w:t>Cancer–endpoint</w:t>
            </w:r>
          </w:p>
        </w:tc>
        <w:tc>
          <w:tcPr>
            <w:tcW w:type="dxa" w:w="850"/>
          </w:tcPr>
          <w:p>
            <w:r>
              <w:rPr>
                <w:b/>
                <w:sz w:val="17"/>
              </w:rPr>
              <w:t>+/−</w:t>
            </w:r>
          </w:p>
        </w:tc>
        <w:tc>
          <w:tcPr>
            <w:tcW w:type="dxa" w:w="1701"/>
          </w:tcPr>
          <w:p>
            <w:r>
              <w:rPr>
                <w:b/>
                <w:sz w:val="17"/>
              </w:rPr>
              <w:t>PR-AUC (95% SC interval)</w:t>
            </w:r>
          </w:p>
        </w:tc>
        <w:tc>
          <w:tcPr>
            <w:tcW w:type="dxa" w:w="1871"/>
          </w:tcPr>
          <w:p>
            <w:r>
              <w:rPr>
                <w:b/>
                <w:sz w:val="17"/>
              </w:rPr>
              <w:t>PPV at TCGA prevalence (95% SC interval)</w:t>
            </w:r>
          </w:p>
        </w:tc>
        <w:tc>
          <w:tcPr>
            <w:tcW w:type="dxa" w:w="1871"/>
          </w:tcPr>
          <w:p>
            <w:r>
              <w:rPr>
                <w:b/>
                <w:sz w:val="17"/>
              </w:rPr>
              <w:t>NPV at TCGA prevalence (95% SC interval)</w:t>
            </w:r>
          </w:p>
        </w:tc>
        <w:tc>
          <w:tcPr>
            <w:tcW w:type="dxa" w:w="1984"/>
          </w:tcPr>
          <w:p>
            <w:r>
              <w:rPr>
                <w:b/>
                <w:sz w:val="17"/>
              </w:rPr>
              <w:t>Evidence/default</w:t>
            </w:r>
          </w:p>
        </w:tc>
      </w:tr>
      <w:tr>
        <w:trPr>
          <w:cantSplit/>
        </w:trPr>
        <w:tc>
          <w:tcPr>
            <w:tcW w:type="dxa" w:w="2098"/>
            <w:vAlign w:val="center"/>
          </w:tcPr>
          <w:p>
            <w:r>
              <w:rPr>
                <w:sz w:val="16"/>
              </w:rPr>
              <w:t>LGG–TP53</w:t>
            </w:r>
          </w:p>
        </w:tc>
        <w:tc>
          <w:tcPr>
            <w:tcW w:type="dxa" w:w="850"/>
            <w:vAlign w:val="center"/>
          </w:tcPr>
          <w:p>
            <w:r>
              <w:rPr>
                <w:sz w:val="16"/>
              </w:rPr>
              <w:t>232/253</w:t>
            </w:r>
          </w:p>
        </w:tc>
        <w:tc>
          <w:tcPr>
            <w:tcW w:type="dxa" w:w="1701"/>
            <w:vAlign w:val="center"/>
          </w:tcPr>
          <w:p>
            <w:r>
              <w:rPr>
                <w:sz w:val="16"/>
              </w:rPr>
              <w:t>0.880 (0.831–0.926)</w:t>
            </w:r>
          </w:p>
        </w:tc>
        <w:tc>
          <w:tcPr>
            <w:tcW w:type="dxa" w:w="1871"/>
            <w:vAlign w:val="center"/>
          </w:tcPr>
          <w:p>
            <w:r>
              <w:rPr>
                <w:sz w:val="16"/>
              </w:rPr>
              <w:t>0.870 (0.825–0.906)</w:t>
            </w:r>
          </w:p>
        </w:tc>
        <w:tc>
          <w:tcPr>
            <w:tcW w:type="dxa" w:w="1871"/>
            <w:vAlign w:val="center"/>
          </w:tcPr>
          <w:p>
            <w:r>
              <w:rPr>
                <w:sz w:val="16"/>
              </w:rPr>
              <w:t>0.857 (0.818–0.893)</w:t>
            </w:r>
          </w:p>
        </w:tc>
        <w:tc>
          <w:tcPr>
            <w:tcW w:type="dxa" w:w="1984"/>
            <w:vAlign w:val="center"/>
          </w:tcPr>
          <w:p>
            <w:r>
              <w:rPr>
                <w:sz w:val="16"/>
              </w:rPr>
              <w:t>standard internal evidence; included</w:t>
            </w:r>
          </w:p>
        </w:tc>
      </w:tr>
      <w:tr>
        <w:trPr>
          <w:cantSplit/>
        </w:trPr>
        <w:tc>
          <w:tcPr>
            <w:tcW w:type="dxa" w:w="2098"/>
            <w:vAlign w:val="center"/>
          </w:tcPr>
          <w:p>
            <w:r>
              <w:rPr>
                <w:sz w:val="16"/>
              </w:rPr>
              <w:t>THYM–GTF2I</w:t>
            </w:r>
          </w:p>
        </w:tc>
        <w:tc>
          <w:tcPr>
            <w:tcW w:type="dxa" w:w="850"/>
            <w:vAlign w:val="center"/>
          </w:tcPr>
          <w:p>
            <w:r>
              <w:rPr>
                <w:sz w:val="16"/>
              </w:rPr>
              <w:t>59/61</w:t>
            </w:r>
          </w:p>
        </w:tc>
        <w:tc>
          <w:tcPr>
            <w:tcW w:type="dxa" w:w="1701"/>
            <w:vAlign w:val="center"/>
          </w:tcPr>
          <w:p>
            <w:r>
              <w:rPr>
                <w:sz w:val="16"/>
              </w:rPr>
              <w:t>0.873 (0.794–0.947)</w:t>
            </w:r>
          </w:p>
        </w:tc>
        <w:tc>
          <w:tcPr>
            <w:tcW w:type="dxa" w:w="1871"/>
            <w:vAlign w:val="center"/>
          </w:tcPr>
          <w:p>
            <w:r>
              <w:rPr>
                <w:sz w:val="16"/>
              </w:rPr>
              <w:t>0.841 (0.756–0.918)</w:t>
            </w:r>
          </w:p>
        </w:tc>
        <w:tc>
          <w:tcPr>
            <w:tcW w:type="dxa" w:w="1871"/>
            <w:vAlign w:val="center"/>
          </w:tcPr>
          <w:p>
            <w:r>
              <w:rPr>
                <w:sz w:val="16"/>
              </w:rPr>
              <w:t>0.877 (0.791–0.942)</w:t>
            </w:r>
          </w:p>
        </w:tc>
        <w:tc>
          <w:tcPr>
            <w:tcW w:type="dxa" w:w="1984"/>
            <w:vAlign w:val="center"/>
          </w:tcPr>
          <w:p>
            <w:r>
              <w:rPr>
                <w:sz w:val="16"/>
              </w:rPr>
              <w:t>standard internal evidence; included</w:t>
            </w:r>
          </w:p>
        </w:tc>
      </w:tr>
      <w:tr>
        <w:trPr>
          <w:cantSplit/>
        </w:trPr>
        <w:tc>
          <w:tcPr>
            <w:tcW w:type="dxa" w:w="2098"/>
            <w:vAlign w:val="center"/>
          </w:tcPr>
          <w:p>
            <w:r>
              <w:rPr>
                <w:sz w:val="16"/>
              </w:rPr>
              <w:t>READ–TP53</w:t>
            </w:r>
          </w:p>
        </w:tc>
        <w:tc>
          <w:tcPr>
            <w:tcW w:type="dxa" w:w="850"/>
            <w:vAlign w:val="center"/>
          </w:tcPr>
          <w:p>
            <w:r>
              <w:rPr>
                <w:sz w:val="16"/>
              </w:rPr>
              <w:t>66/69</w:t>
            </w:r>
          </w:p>
        </w:tc>
        <w:tc>
          <w:tcPr>
            <w:tcW w:type="dxa" w:w="1701"/>
            <w:vAlign w:val="center"/>
          </w:tcPr>
          <w:p>
            <w:r>
              <w:rPr>
                <w:sz w:val="16"/>
              </w:rPr>
              <w:t>0.870 (0.785–0.954)</w:t>
            </w:r>
          </w:p>
        </w:tc>
        <w:tc>
          <w:tcPr>
            <w:tcW w:type="dxa" w:w="1871"/>
            <w:vAlign w:val="center"/>
          </w:tcPr>
          <w:p>
            <w:r>
              <w:rPr>
                <w:sz w:val="16"/>
              </w:rPr>
              <w:t>0.816 (0.726–0.905)</w:t>
            </w:r>
          </w:p>
        </w:tc>
        <w:tc>
          <w:tcPr>
            <w:tcW w:type="dxa" w:w="1871"/>
            <w:vAlign w:val="center"/>
          </w:tcPr>
          <w:p>
            <w:r>
              <w:rPr>
                <w:sz w:val="16"/>
              </w:rPr>
              <w:t>0.906 (0.838–0.964)</w:t>
            </w:r>
          </w:p>
        </w:tc>
        <w:tc>
          <w:tcPr>
            <w:tcW w:type="dxa" w:w="1984"/>
            <w:vAlign w:val="center"/>
          </w:tcPr>
          <w:p>
            <w:r>
              <w:rPr>
                <w:sz w:val="16"/>
              </w:rPr>
              <w:t>standard internal evidence; included</w:t>
            </w:r>
          </w:p>
        </w:tc>
      </w:tr>
      <w:tr>
        <w:trPr>
          <w:cantSplit/>
        </w:trPr>
        <w:tc>
          <w:tcPr>
            <w:tcW w:type="dxa" w:w="2098"/>
            <w:vAlign w:val="center"/>
          </w:tcPr>
          <w:p>
            <w:r>
              <w:rPr>
                <w:sz w:val="16"/>
              </w:rPr>
              <w:t>THCA–BRAF</w:t>
            </w:r>
          </w:p>
        </w:tc>
        <w:tc>
          <w:tcPr>
            <w:tcW w:type="dxa" w:w="850"/>
            <w:vAlign w:val="center"/>
          </w:tcPr>
          <w:p>
            <w:r>
              <w:rPr>
                <w:sz w:val="16"/>
              </w:rPr>
              <w:t>289/201</w:t>
            </w:r>
          </w:p>
        </w:tc>
        <w:tc>
          <w:tcPr>
            <w:tcW w:type="dxa" w:w="1701"/>
            <w:vAlign w:val="center"/>
          </w:tcPr>
          <w:p>
            <w:r>
              <w:rPr>
                <w:sz w:val="16"/>
              </w:rPr>
              <w:t>0.899 (0.859–0.936)</w:t>
            </w:r>
          </w:p>
        </w:tc>
        <w:tc>
          <w:tcPr>
            <w:tcW w:type="dxa" w:w="1871"/>
            <w:vAlign w:val="center"/>
          </w:tcPr>
          <w:p>
            <w:r>
              <w:rPr>
                <w:sz w:val="16"/>
              </w:rPr>
              <w:t>0.840 (0.800–0.877)</w:t>
            </w:r>
          </w:p>
        </w:tc>
        <w:tc>
          <w:tcPr>
            <w:tcW w:type="dxa" w:w="1871"/>
            <w:vAlign w:val="center"/>
          </w:tcPr>
          <w:p>
            <w:r>
              <w:rPr>
                <w:sz w:val="16"/>
              </w:rPr>
              <w:t>0.876 (0.826–0.920)</w:t>
            </w:r>
          </w:p>
        </w:tc>
        <w:tc>
          <w:tcPr>
            <w:tcW w:type="dxa" w:w="1984"/>
            <w:vAlign w:val="center"/>
          </w:tcPr>
          <w:p>
            <w:r>
              <w:rPr>
                <w:sz w:val="16"/>
              </w:rPr>
              <w:t>standard internal evidence; included</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Tissue-source-site sensitivity and submitting-site prediction</w:t>
      </w:r>
    </w:p>
    <w:p>
      <w:r>
        <w:t xml:space="preserve">Tissue-source-site-grouped internal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and test patients, so the decline cannot be attributed solely to site artefact; nevertheless, the near-chance colorectal APC results are not adequately summarised by the median and are labelled site-sensitive in the main model table, registry and research-software output. </w:t>
      </w:r>
    </w:p>
    <w:p>
      <w:r>
        <w:t>Across 1,613 outer folds, test partitions contained 1–445 patients and 1–9 tissue-source sites; binary folds contained 0–130 positive and 0–269 negative patients. These imbalances are intrinsic to keeping complete sites together and are reported model by model and fold by fold. The deterministic fold audit confirmed that no site crossed an outer fold and that the same separation was maintained in every inner component-selection split.</w:t>
      </w:r>
    </w:p>
    <w:p>
      <w:r>
        <w:t>The dedicated within-cancer site-classification analysis was evaluable in 27/32 cancers and included 7,863 patients from sites with at least 10 patients. All 27 observed macro balanced accuracies exceeded their cancer-specific 1/k chance reference; the median was 0.628 (range 0.425–0.966). The strongest chance-normalised site predictability occurred in UVM (macro balanced accuracy 0.966; 3 sites); OV (macro balanced accuracy 0.963; 2 sites); PAAD (macro balanced accuracy 0.911; 5 sites); ESCA (macro balanced accuracy 0.861; 7 sites); READ (macro balanced accuracy 0.862; 5 sites). ACC, CHOL, DLBC, MESO and UCS had fewer than two sites meeting the 10-patient requirement and were reported as ineligible. This result shows substantial submitting-site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519523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5195236"/>
                    </a:xfrm>
                    <a:prstGeom prst="rect"/>
                  </pic:spPr>
                </pic:pic>
              </a:graphicData>
            </a:graphic>
          </wp:inline>
        </w:drawing>
      </w:r>
    </w:p>
    <w:p>
      <w:pPr>
        <w:pStyle w:val="Caption"/>
        <w:jc w:val="center"/>
      </w:pPr>
      <w:r>
        <w:t>Figure 6. Tissue-source-site sensitivity as a principal result. Panel A compares random-fold and tissue-source-site-grouped internal performance for all 323 screen-positive models; Panel B names the largest attenuations; Panel C quantifies within-cancer prediction of tissue-source site from TITAN representations. Grouping is internal to TCGA, and tissue-source site is an imperfect proxy rather than institutional or scanner-level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tissue-source-site analysis.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Table 4 records the three fitted UCEC artifacts locked for any future untouched evaluation. The displayed performance values are internally derived TCGA estimates included only to document why the targets were selected; they are not external benchmarks. All three must be reported under the protocol, including chance-level performance, extraction failure or endpoint non-evaluability.</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474"/>
          </w:tcPr>
          <w:p>
            <w:r>
              <w:rPr>
                <w:b/>
                <w:sz w:val="17"/>
              </w:rPr>
              <w:t>Locked target</w:t>
            </w:r>
          </w:p>
        </w:tc>
        <w:tc>
          <w:tcPr>
            <w:tcW w:type="dxa" w:w="1587"/>
          </w:tcPr>
          <w:p>
            <w:r>
              <w:rPr>
                <w:b/>
                <w:sz w:val="17"/>
              </w:rPr>
              <w:t>Artifact SHA-256 (prefix)</w:t>
            </w:r>
          </w:p>
        </w:tc>
        <w:tc>
          <w:tcPr>
            <w:tcW w:type="dxa" w:w="1928"/>
          </w:tcPr>
          <w:p>
            <w:r>
              <w:rPr>
                <w:b/>
                <w:sz w:val="17"/>
              </w:rPr>
              <w:t>Internal repeated-CV estimate</w:t>
            </w:r>
          </w:p>
        </w:tc>
        <w:tc>
          <w:tcPr>
            <w:tcW w:type="dxa" w:w="1814"/>
          </w:tcPr>
          <w:p>
            <w:r>
              <w:rPr>
                <w:b/>
                <w:sz w:val="17"/>
              </w:rPr>
              <w:t>Site-grouped estimate</w:t>
            </w:r>
          </w:p>
        </w:tc>
        <w:tc>
          <w:tcPr>
            <w:tcW w:type="dxa" w:w="1474"/>
          </w:tcPr>
          <w:p>
            <w:r>
              <w:rPr>
                <w:b/>
                <w:sz w:val="17"/>
              </w:rPr>
              <w:t>Future primary metric</w:t>
            </w:r>
          </w:p>
        </w:tc>
        <w:tc>
          <w:tcPr>
            <w:tcW w:type="dxa" w:w="1134"/>
          </w:tcPr>
          <w:p>
            <w:r>
              <w:rPr>
                <w:b/>
                <w:sz w:val="17"/>
              </w:rPr>
              <w:t>Status</w:t>
            </w:r>
          </w:p>
        </w:tc>
      </w:tr>
      <w:tr>
        <w:trPr>
          <w:cantSplit/>
        </w:trPr>
        <w:tc>
          <w:tcPr>
            <w:tcW w:type="dxa" w:w="1474"/>
            <w:vAlign w:val="center"/>
          </w:tcPr>
          <w:p>
            <w:r>
              <w:rPr>
                <w:sz w:val="16"/>
              </w:rPr>
              <w:t>UCEC–TP53</w:t>
            </w:r>
          </w:p>
        </w:tc>
        <w:tc>
          <w:tcPr>
            <w:tcW w:type="dxa" w:w="1587"/>
            <w:vAlign w:val="center"/>
          </w:tcPr>
          <w:p>
            <w:r>
              <w:rPr>
                <w:sz w:val="16"/>
              </w:rPr>
              <w:t>c39ba2caeefc</w:t>
            </w:r>
          </w:p>
        </w:tc>
        <w:tc>
          <w:tcPr>
            <w:tcW w:type="dxa" w:w="1928"/>
            <w:vAlign w:val="center"/>
          </w:tcPr>
          <w:p>
            <w:r>
              <w:rPr>
                <w:sz w:val="16"/>
              </w:rPr>
              <w:t>balanced accuracy 0.744</w:t>
            </w:r>
          </w:p>
        </w:tc>
        <w:tc>
          <w:tcPr>
            <w:tcW w:type="dxa" w:w="1814"/>
            <w:vAlign w:val="center"/>
          </w:tcPr>
          <w:p>
            <w:r>
              <w:rPr>
                <w:sz w:val="16"/>
              </w:rPr>
              <w:t>site-grouped balanced accuracy 0.740</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UCEC–Genome doubling</w:t>
            </w:r>
          </w:p>
        </w:tc>
        <w:tc>
          <w:tcPr>
            <w:tcW w:type="dxa" w:w="1587"/>
            <w:vAlign w:val="center"/>
          </w:tcPr>
          <w:p>
            <w:r>
              <w:rPr>
                <w:sz w:val="16"/>
              </w:rPr>
              <w:t>8f9fd7357818</w:t>
            </w:r>
          </w:p>
        </w:tc>
        <w:tc>
          <w:tcPr>
            <w:tcW w:type="dxa" w:w="1928"/>
            <w:vAlign w:val="center"/>
          </w:tcPr>
          <w:p>
            <w:r>
              <w:rPr>
                <w:sz w:val="16"/>
              </w:rPr>
              <w:t>balanced accuracy 0.722</w:t>
            </w:r>
          </w:p>
        </w:tc>
        <w:tc>
          <w:tcPr>
            <w:tcW w:type="dxa" w:w="1814"/>
            <w:vAlign w:val="center"/>
          </w:tcPr>
          <w:p>
            <w:r>
              <w:rPr>
                <w:sz w:val="16"/>
              </w:rPr>
              <w:t>site-grouped balanced accuracy 0.722</w:t>
            </w:r>
          </w:p>
        </w:tc>
        <w:tc>
          <w:tcPr>
            <w:tcW w:type="dxa" w:w="1474"/>
            <w:vAlign w:val="center"/>
          </w:tcPr>
          <w:p>
            <w:r>
              <w:rPr>
                <w:sz w:val="16"/>
              </w:rPr>
              <w:t>balanced accuracy</w:t>
            </w:r>
          </w:p>
        </w:tc>
        <w:tc>
          <w:tcPr>
            <w:tcW w:type="dxa" w:w="1134"/>
            <w:vAlign w:val="center"/>
          </w:tcPr>
          <w:p>
            <w:r>
              <w:rPr>
                <w:sz w:val="16"/>
              </w:rPr>
              <w:t>Not performed</w:t>
            </w:r>
          </w:p>
        </w:tc>
      </w:tr>
      <w:tr>
        <w:trPr>
          <w:cantSplit/>
        </w:trPr>
        <w:tc>
          <w:tcPr>
            <w:tcW w:type="dxa" w:w="1474"/>
            <w:vAlign w:val="center"/>
          </w:tcPr>
          <w:p>
            <w:r>
              <w:rPr>
                <w:sz w:val="16"/>
              </w:rPr>
              <w:t>UCEC–Aneuploidy score</w:t>
            </w:r>
          </w:p>
        </w:tc>
        <w:tc>
          <w:tcPr>
            <w:tcW w:type="dxa" w:w="1587"/>
            <w:vAlign w:val="center"/>
          </w:tcPr>
          <w:p>
            <w:r>
              <w:rPr>
                <w:sz w:val="16"/>
              </w:rPr>
              <w:t>0c520d8a9d57</w:t>
            </w:r>
          </w:p>
        </w:tc>
        <w:tc>
          <w:tcPr>
            <w:tcW w:type="dxa" w:w="1928"/>
            <w:vAlign w:val="center"/>
          </w:tcPr>
          <w:p>
            <w:r>
              <w:rPr>
                <w:sz w:val="16"/>
              </w:rPr>
              <w:t>Q2 0.347</w:t>
            </w:r>
          </w:p>
        </w:tc>
        <w:tc>
          <w:tcPr>
            <w:tcW w:type="dxa" w:w="1814"/>
            <w:vAlign w:val="center"/>
          </w:tcPr>
          <w:p>
            <w:r>
              <w:rPr>
                <w:sz w:val="16"/>
              </w:rPr>
              <w:t>site-grouped Q2 0.328</w:t>
            </w:r>
          </w:p>
        </w:tc>
        <w:tc>
          <w:tcPr>
            <w:tcW w:type="dxa" w:w="1474"/>
            <w:vAlign w:val="center"/>
          </w:tcPr>
          <w:p>
            <w:r>
              <w:rPr>
                <w:sz w:val="16"/>
              </w:rPr>
              <w:t>Q2</w:t>
            </w:r>
          </w:p>
        </w:tc>
        <w:tc>
          <w:tcPr>
            <w:tcW w:type="dxa" w:w="1134"/>
            <w:vAlign w:val="center"/>
          </w:tcPr>
          <w:p>
            <w:r>
              <w:rPr>
                <w:sz w:val="16"/>
              </w:rPr>
              <w:t>Not performed</w:t>
            </w:r>
          </w:p>
        </w:tc>
      </w:tr>
    </w:tbl>
    <w:p/>
    <w:p>
      <w:pPr>
        <w:pStyle w:val="Caption"/>
      </w:pPr>
      <w:r>
        <w:t>Table 4. Prospectively locked subset for future independent evaluation. Model selection occurred after the TCGA screen but before any external feature, outcome or prediction was inspected. Full hashes, secondary metrics, endpoint-compatibility rules and mandatory failure reporting are provided in Supplementary Table S6c and the machine-readable lock file.</w:t>
      </w:r>
    </w:p>
    <w:p>
      <w:pPr>
        <w:pStyle w:val="Heading2"/>
      </w:pPr>
      <w:r>
        <w:t>Research-software demonstration and COAD illustration</w:t>
      </w:r>
    </w:p>
    <w:p>
      <w:r>
        <w:t>The access-controlled TITANPred R package contains 323 fitted models (219 continuous and 104 binary) across 27 cancers [32]. An authorised research user supplies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Default inference exposes 306 models; the 17 limited-evidence binary models require explicit opt-in. The binary display labels its TCGA out-of-fold score rank explicitly as a rank rather than a probability and places training positive/negative counts, prevalence, repeated-CV balanced accuracy, AUROC, PR-AUC, TCGA-prevalence PPV/NPV, fold minima, component variability, repeat stability, the tissue-source-site-grouped metric and any limited-class-size or site-sensitivity warning beside the call. A single-sample research-software output renders all available continuous endpoints as a radar, with the exact reference percentile and original prediction printed at every corner, and displays binary calls with provenance and out-of-distribution diagnostics. The demonstration ends with definitions of every displayed endpoint and citations for the data source used to construct each TCGA model target.</w:t>
      </w:r>
    </w:p>
    <w:p>
      <w:r>
        <w:t>COAD was chosen for a research-software demonstration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 research-software demonstration of internally derived TCGA estimates,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research-software demonstration in two clinically comparable COAD cases. Panels A and B show all ten internally derived TCGA continuous estimates for TCGA-AA-A01F and TCGA-AA-3972, respectively. Silent mutation rate and SNV neoantigens flank nonsilent mutation rate in the semantic axis order. Every radar corner reports the exact percentile relative to corrected repeated out-of-fold TCGA predictions and the original model estimate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research-software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Tissue-source-site sensitivity is a central result rather than a generic robustness footnote.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The model registry and inference output therefore expose the grouped metric, delta, number of sites, threshold-retention status and a prominent warning for every affected endpoint.</w:t>
      </w:r>
    </w:p>
    <w:p>
      <w:r>
        <w:t>The complementary site-classification analysis strengthens this interpretation: the fixed TITAN representation predicted submitting site within 27/32 evaluable cancers, with median macro balanced accuracy 0.628 despite cancer-specific chance references from 0.053 to 0.500. This demonstrates that site information is present in the representation and could support confounding. It does not show that each attenuated molecular model is wholly artifactual, because site correlates with case mix and molecular prevalence as well as technical acquisition. Conversely, successful tissue-source-site grouping cannot prove transportability: the barcode-derived site is an imperfect proxy for institutions, scanners, staining laboratories and batch effects.</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matched COAD cases demonstrate software output for internally derived TCGA estimates. Because both examples were chosen within TCGA and were evaluated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'TCGA tissue-source-site-grouped internal validation'—cannot establish transportability to another institution, scanner, stain distribution or patient population. Tissue-source site is not a complete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S1–S3 and an inventory of the companion machine-readable result files.</w:t>
      </w:r>
    </w:p>
    <w:p>
      <w:r>
        <w:t>Additional file 2 (.pdf): COAD example A (TCGA-AA-A01F) TITANPred research-software output. Illustrative internally derived full-cohort TCGA estimates for the COAD example with high MSI, mutation-rate and immune-feature predictions and low aneuploidy prediction.</w:t>
      </w:r>
    </w:p>
    <w:p>
      <w:r>
        <w:t>Additional file 3 (.pdf): COAD example B (TCGA-AA-3972) TITANPred research-software output. Illustrative internally derived full-cohort TCGA estimates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