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immune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New main-text Table 1 compares patients, slides, endpoint classes, representation, patient aggregation, validation, site sensitivity, external validation, negative/ineligible reporting and fitted-predictor availability. The abstract and Discussion now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 The comparison is also released as data/reference/pan_cancer_benchmark_comparison.csv.</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tissue-source-site-grouped results; the largest target-level attenuations, including READ–APC (balanced accuracy 0.862 to 0.495) and COAD–APC (0.793 to 0.543); and the new within-cancer tissue-source-site prediction analysis. Main Table 3 now reports the grouped metric and warning status beside every highlighted model. The public analysis registry and access-controlled TITANPred registry contain the grouped metric, delta, number of sites, threshold-retention flag, near-chance flag, validation scope and warning for all 323 models; inference outputs and reports display these fields and prominently warn about site-sensitive models. We report that 83/323 models (25.7%) fell below the original threshold: 58/219 continuous and 25/104 binary. The fold audit provides all 1,613 outer-fold compositions with test/training patients, sites, positive and negative cases, site identifiers and seeds; selected APC folds appear in Table S10c. We confirmed from both the implementation and deterministic fold reconstruction that the tissue-source-site constraint was passed to inner component selection as well as outer evaluation, with no site overlap. In the new five-repeat nested PLS–LDA analysis, TITAN predicted tissue-source site in 27/32 evaluable cancers; median multiclass macro balanced accuracy was 0.628. We consistently call the endpoint sensitivity 'TCGA tissue-source-site-grouped internal validation' and state that tissue-source site is an imperfect proxy; neither retained performance nor site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predictive effect magnitude, with repeated and site-grouped stability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external-site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effect-eligible endpoint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a 'research-software demonstration';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new main-text Table 4, Supplementary Table S6c, docs/EXTERNAL_VALIDATION_PROTOCOL.md and data/reference/external_validation_locked_targets.csv.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Tissue-source-site-grouped validation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The two illustrative COAD research-software outputs are supplied as separate PDF attachments (Additional files 2 and 3) and are labelled internally derived TCGA estimates.</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across-cancer family correction and that 320/323 local candidates passed a single BH correction across all eligible atlas tests.</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