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immune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immune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Tissue-source-site sensitivity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predictive effect, repeated and site-grouped stability are reported alongside, and tied minimum q-values are not used for ranking.</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Tissue-source-site sensitivity and confounding</w:t>
      </w:r>
    </w:p>
    <w:p>
      <w:pPr>
        <w:spacing w:after="120" w:line="264" w:lineRule="auto"/>
      </w:pPr>
      <w:r>
        <w:rPr>
          <w:rFonts w:ascii="Calibri" w:hAnsi="Calibri"/>
          <w:b w:val="0"/>
          <w:i w:val="0"/>
          <w:color w:val="000000"/>
          <w:sz w:val="22"/>
        </w:rPr>
        <w:t>The revised manuscript now makes the site result visible rather than reducing it to a median robustness statistic. Main Figure 6 shows every target, the largest attenuations and the new within-cancer submitting-site classifiers; Main Table 3 reports grouped performance beside highlighted models. Overall, 83/323 screen-positive models (25.7%) fell below their original effect threshold. READ–APC and COAD–APC declined to balanced accuracies 0.495 and 0.543. The public analysis registry and inference output expose the grouped metric, delta, site count, threshold-retention status and prominent warning for every model. The complete fold audit reports patients, sites and class counts in all 1,613 outer folds and confirms that inner component selection also kept tissue-source sites intact.</w:t>
      </w:r>
    </w:p>
    <w:p>
      <w:pPr>
        <w:spacing w:after="120" w:line="264" w:lineRule="auto"/>
      </w:pPr>
      <w:r>
        <w:rPr>
          <w:rFonts w:ascii="Calibri" w:hAnsi="Calibri"/>
          <w:b w:val="0"/>
          <w:i w:val="0"/>
          <w:color w:val="000000"/>
          <w:sz w:val="22"/>
        </w:rPr>
        <w:t>The dedicated repeated nested analysis predicted tissue-source site from TITAN representations in 27/32 evaluable cancers, with median multiclass macro balanced accuracy 0.628. This quantifies substantial confounding potential. The manuscript appropriately calls the endpoint analysis 'TCGA tissue-source-site-grouped internal validation' and does not interpret retained performance as proof of scanner, laboratory or institutional transportability. Tissue-source site remains an imperfect proxy,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cohort/site/scanner/population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10.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 continuous prediction with explicit held-out metrics. These corrected production figures should be retained.</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includes immune and inflammatory features as well as mutations, pathways, MSI, aneuploidy and fusions.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