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TCGA tissue-source-site-code constraint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TCGA tissue-source-site-code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TCGA tissue-source-site-code grouping</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TCGA tissue-source-site-code grouping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TCGA tissue-source-site-code classification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TCGA tissue-source-site-code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TCGA tissue-source-site-code grouping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Three UCEC targets—TP53 mutation, genome doubling and continuous aneuploidy score—were prospectively locked for future independent evaluation, but no external result is available. Target definitions, internal estimates, artifact hashes, endpoint-compatibility rules and mandatory failure reporting are provided in Supplementary Table S6c and the software documentation.</w:t>
      </w:r>
    </w:p>
    <w:p>
      <w:pPr>
        <w:pStyle w:val="Heading2"/>
      </w:pPr>
      <w:r>
        <w:t>Illustrative COAD output</w:t>
      </w:r>
    </w:p>
    <w:p>
      <w:r>
        <w:t>The fitted-model resource was implemented as research software; construction, model inventory, checksums, score-rank definitions, reliability warnings, input validation and report behaviour are described in Supplementary Methods, Tables S6b–S6c and S13, and the package documentation [32].</w:t>
      </w:r>
    </w:p>
    <w:p>
      <w:r>
        <w:t>Two COAD participants, TCGA-AA-A01F and TCGA-AA-3972, are retained solely to show continuous and binary research-software outputs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TCGA tissue-source-site-code classification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Grouping by TCGA tissue-source-site code probes one source of heterogeneity but does not directly identify an institution and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