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TCGA tissue-source-site-code prediction analysis.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TCGA tissue-source-site-code grouping.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TCGA tissue-source-site-code constraint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TCGA tissue-source-site-code-grouped,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12 strongest models rather than 30, with substantially larger fonts and points, minimal encodings and links to complete supplementary results. Figure 5 is restricted to the 15 cancers with the largest candidate counts and uses larger axis and legend typography. Figure 6 retains all 323 models only in the overview, limits the attenuation panel to six endpoints and the TCGA tissue-source-site-code panel to 10 results, and enlarges all typography. Figure 7 no longer uses radar plots: its continuous panel is a shared-axis dumbbell comparison of eight endpoints with original predictions in a separate value column, and its binary panel is restricted to six endpoints. Complete case outputs remain in the two separate reports. Exact sample IDs and all non-probability and internal-validation warnings are retained.</w:t>
      </w:r>
    </w:p>
    <w:p>
      <w:pPr>
        <w:pStyle w:val="Heading1"/>
      </w:pPr>
      <w:r>
        <w:t>Move implementation detail out of the main Results</w:t>
      </w:r>
    </w:p>
    <w:p>
      <w:r>
        <w:t>Agreed. The detailed TITANPred inventory, input schema, pooling behaviour, score-rank construction, checksums, class counts, reliability warnings, report-generation behaviour, synthetic smoke test and locked-artifact metadata have been removed from the main Results. These materials remain in Supplementary Methods, Tables S6b–S6c and S13, the machine-readable registries and the package documentation. The former software-interface subsection is now a short 'Illustrative COAD output' section containing only the purpose and selection caveats needed to interpret Figure 7. The locked UCEC targets are stated in one sentence, with all hashes and protocol mechanics moved to Supplementary Table S6c.</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TCGA tissue-source-site-code classification';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Sensitivity to TCGA tissue-source-site-code grouping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