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Sensitivity to TCGA tissue-source-site-code grouping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stability and stability under grouping by TCGA tissue-source-site code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Sensitivity to TCGA tissue-source-site-code grouping and confounding</w:t>
      </w:r>
    </w:p>
    <w:p>
      <w:pPr>
        <w:spacing w:after="120" w:line="264" w:lineRule="auto"/>
      </w:pPr>
      <w:r>
        <w:rPr>
          <w:rFonts w:ascii="Calibri" w:hAnsi="Calibri"/>
          <w:b w:val="0"/>
          <w:i w:val="0"/>
          <w:color w:val="000000"/>
          <w:sz w:val="22"/>
        </w:rPr>
        <w:t>The revised manuscript now makes the TCGA tissue-source-site-code result visible rather than reducing it to a median robustness statistic. Main Figure 6 shows every target, the largest attenuations and the new within-cancer TCGA tissue-source-site-code classifiers;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TCGA tissue-source-site-code count, threshold-retention status and prominent warning for every model. The complete fold audit reports patients, codes and class counts in all 1,613 outer folds and confirms that inner component selection also kept each TCGA tissue-source-site code intact.</w:t>
      </w:r>
    </w:p>
    <w:p>
      <w:pPr>
        <w:spacing w:after="120" w:line="264" w:lineRule="auto"/>
      </w:pPr>
      <w:r>
        <w:rPr>
          <w:rFonts w:ascii="Calibri" w:hAnsi="Calibri"/>
          <w:b w:val="0"/>
          <w:i w:val="0"/>
          <w:color w:val="000000"/>
          <w:sz w:val="22"/>
        </w:rPr>
        <w:t>The dedicated repeated nested analysis predicted TCGA tissue-source-site code from TITAN representations in 27/32 evaluable cancers, with median multiclass macro balanced accuracy 0.628. This quantifies substantial confounding potential. The manuscript appropriately calls the endpoint analysis 'internal validation grouped by TCGA tissue-source-site code' and does not interpret retained performance as proof of scanner, laboratory or institutional transportability. Tissue-source the barcode-derived code is not an institution, scanner or laboratory identifier,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cohort/institution/scanner/population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locked-target implementation table has also moved to Supplementary Table S6c, leaving one compact main-text table.</w:t>
      </w:r>
    </w:p>
    <w:p>
      <w:pPr>
        <w:pStyle w:val="Heading3"/>
        <w:keepNext/>
      </w:pPr>
      <w:r>
        <w:t>Implementation detail</w:t>
      </w:r>
    </w:p>
    <w:p>
      <w:pPr>
        <w:spacing w:after="120" w:line="264" w:lineRule="auto"/>
      </w:pPr>
      <w:r>
        <w:rPr>
          <w:rFonts w:ascii="Calibri" w:hAnsi="Calibri"/>
          <w:b w:val="0"/>
          <w:i w:val="0"/>
          <w:color w:val="000000"/>
          <w:sz w:val="22"/>
        </w:rPr>
        <w:t>Detailed report construction, score-rank definitions, checksums, model inventory, input validation and package behaviour have been moved out of the main Results to the Supplement and software documentation. The main Results retain only a concise description needed to interpret the illustrative COAD output.</w:t>
      </w:r>
    </w:p>
    <w:p>
      <w:pPr>
        <w:pStyle w:val="Heading3"/>
        <w:keepNext/>
      </w:pPr>
      <w:r>
        <w:t>TCGA tissue-source-site code</w:t>
      </w:r>
    </w:p>
    <w:p>
      <w:pPr>
        <w:spacing w:after="120" w:line="264" w:lineRule="auto"/>
      </w:pPr>
      <w:r>
        <w:rPr>
          <w:rFonts w:ascii="Calibri" w:hAnsi="Calibri"/>
          <w:b w:val="0"/>
          <w:i w:val="0"/>
          <w:color w:val="000000"/>
          <w:sz w:val="22"/>
        </w:rPr>
        <w:t>The two-character barcode variable is now named consistently as the TCGA tissue-source-site code. Grouped validation and code-classification analyses no longer use the broader shorthand 'site'. The manuscript explicitly states that this code is not an institution, scanner, laboratory or staining-batch identifier and that grouping by it is internal to TCGA.</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and 3 are restricted to 12 models, Figure 5 to 15 cancers, and Figure 6 to six labelled attenuations and 10 code-classification results, all with larger typography and links to complete supplementary tables. Figure 7 replaces the radar plots with a shared-axis dumbbell comparison of eight continuous endpoints and a six-endpoint binary panel; original predicted values remain visible and complete outputs stay in the separate case reports. The redesign materially improves normal-size comparison without dropping the two illustrative COAD cases.</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