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New main-text Table 1 compares patients, slides, endpoint classes, representation, patient aggregation, validation, site sensitivity, external validation, negative/ineligible reporting and fitted-predictor availability. The abstract and Discussion now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 The comparison is also released as data/reference/pan_cancer_benchmark_comparison.csv.</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Main Table 3 now reports the grouped metric and warning status beside every highlighted model.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predictive effect magnitude,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effect-eligible endpoint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new main-text Table 4,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across-cancer family correction and that 320/323 local candidates passed a single BH correction across all eligible atlas tests.</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