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Screening identified 219 continuous and 104 binary candidates in prespecified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Prior studies supported 38/41 screen-positive cancer–gene pairs. 320/323 local candidates passed single BH correction across all 2,073 eligible tests. Tissue-source-site grouping reduced 83/323 candidates (25.7%) below the original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and site-grouped stability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ranked by the primary screening Q² from the initial nested-CV run. Five-repeat mean repeated-validation estimates are reported separately in the model tables and machine-readable summary. All Q² values are calculated from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ranked by primary screening balanced accuracy from the initial nested-CV run. Five-repeat mean repeated-validation estimates are reported separately.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tissue-source-site-grouped estimates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2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2.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interface and COAD radar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Every binary display uses the adjacent label 'TCGA OOF score rank (not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 A prominent report banner states that the output lacks independent external validation, is uncalibrated for probability and is not for diagnosis, treatment selection or clinical-risk estimation. The package provides a synthetic feature vector constructed from stored training-feature means for interface examples and smoke tests; it is explicitly labelled as not being a patient record.</w:t>
      </w:r>
    </w:p>
    <w:p>
      <w:r>
        <w:t>Two COAD participants, TCGA-AA-A01F and TCGA-AA-3972, are retained solely to show the radar and binary-output interface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Post hoc TITANPred research-software visualization for two COAD participants. Panels A and B show internally derived full-cohort TCGA continuous estimates for TCGA-AA-A01F and TCGA-AA-3972; every radar corner gives the TCGA OOF prediction percentile and original estimate. Panel C shows PLS-LDA calls with the adjacent label 'TCGA OOF score rank (not probability)' and development class counts. The pair was selected after clinical-text and saturation restrictions by maximising continuous-profile separation, intentionally enhancing visual contrast. Treatment and outcomes are not displayed. The figure is an interface illustration, not probability-calibrated output, external validation, representative case sampling, prognosis or treatment-response evidence.</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radar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