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Complete highlighted-model grouped metrics and warning status are in Supplementary Table S6a rather than an oversized main-text table.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main-text Table 2,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The remaining compact main tables were renumbered as Table 1 (analysis coverage) and Table 2 (prospectively locked subset).</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