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derived immune-feature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locally, across cancers and atlas-wide; and the absence of independent external validation is explicit. A metadata-stratified, performance-independent comparison now shows that ridge often matches or exceeds PLS, so the manuscript retains PLS only as the prespecified reference analysis and makes no optimality claim.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derived immune-feature signals in human tumours. Its main contribution is a transparent endpoint-by-endpoint benchmark using a fixed pretrained representation, complete negative reporting and portable fitted linear models. The authors appropriately refrain from clinical claims and label every value as an internally derived TCGA estimate. Without an independent cohort, the work should be evaluated as a computational pathology resource rather than a translational prediction study.</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sensitivity is an appropriate patient-aggregation check. Tissue-source-site sensitivity is now treated separately as a central finding.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while 320/323 local candidates pass one BH correction across all 2,073 eligible atlas tests. The manuscript correctly distinguishes this single atlas-wide sensitivity from its primary local cancer-specific questions. It also now states explicitly that every permutation reruns training-fold centering, inner component selection, outer refitting and held-out prediction. Among completed 999-permutation tests, 308 had zero exceedances; the exact two-sided 95% Monte Carlo interval is 0–0.003686. The locked eight-model refinement continues the same streams to 9,999 full permutations, with 8/8 zero-exceedance results and refined p-values all 0.0001. The refinement is appropriately presented as a precision sensitivity rather than being inserted post hoc into the prespecified FDR screen. Models are ordered by the outcome-appropriate predictive metric, repeated and site-grouped stability are reported alongside, and tied minimum q-values are not used for ranking. The former effect-sounding categories have been replaced by the neutral labels 'prespecified screening tier A' and 'prespecified screening tier B'. The Methods state that these are prioritisation rules based on Q² for continuous outcomes and 2×balanced accuracy−1 for binary outcomes, not established clinical or statistical effect categories or directly commensurate scales.</w:t>
      </w:r>
    </w:p>
    <w:p>
      <w:pPr>
        <w:spacing w:after="120" w:line="264" w:lineRule="auto"/>
      </w:pPr>
      <w:r>
        <w:rPr>
          <w:rFonts w:ascii="Calibri" w:hAnsi="Calibri"/>
          <w:b/>
          <w:i w:val="0"/>
          <w:color w:val="000000"/>
          <w:sz w:val="22"/>
        </w:rPr>
        <w:t>No additional multiplicity correction is requested.</w:t>
      </w:r>
      <w:r>
        <w:rPr>
          <w:rFonts w:ascii="Calibri" w:hAnsi="Calibri"/>
          <w:b w:val="0"/>
          <w:i w:val="0"/>
          <w:color w:val="000000"/>
          <w:sz w:val="22"/>
        </w:rPr>
        <w:t xml:space="preserve"> Preserve the numerical distinction between within-cancer, across-cancer-family and atlas-wide results, and retain the Monte Carlo interval and targeted-refinement caveats.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AUROC, PR-AUC and cohort-specific PPV/NPV for binary outcomes and Q², RMSE and Spearman correlation for continuous outcomes, with 95% selection-conditioned patient-resampling intervals for repeated out-of-fold predictions. The Methods and Discussion now state that these intervals resample patients from five fixed prediction sets and do not repeat screening, fold generation, tuning or fitting. They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 PPV and NPV must remain explicitly tied to observed TCGA prevalence.</w:t>
      </w:r>
    </w:p>
    <w:p>
      <w:pPr>
        <w:pStyle w:val="Heading2"/>
        <w:keepNext/>
      </w:pPr>
      <w:r>
        <w:t>4. Tissue-source-site sensitivity and confounding</w:t>
      </w:r>
    </w:p>
    <w:p>
      <w:pPr>
        <w:spacing w:after="120" w:line="264" w:lineRule="auto"/>
      </w:pPr>
      <w:r>
        <w:rPr>
          <w:rFonts w:ascii="Calibri" w:hAnsi="Calibri"/>
          <w:b w:val="0"/>
          <w:i w:val="0"/>
          <w:color w:val="000000"/>
          <w:sz w:val="22"/>
        </w:rPr>
        <w:t>The revised manuscript now makes the site result visible rather than reducing it to a median robustness statistic. Main Figure 6 shows every target, the largest attenuations and the new within-cancer submitting-site classifiers; Supplementary Table S6a reports grouped performance beside highlighted models. Overall, 83/323 screen-positive models (25.7%) fell below their original prespecified screening threshold. READ–APC and COAD–APC declined to balanced accuracies 0.495 and 0.543. The public analysis registry and inference output expose the grouped metric, delta, site count, threshold-retention status and prominent warning for every model. The complete fold audit reports patients, sites and class counts in all 1,613 outer folds and confirms that inner component selection also kept tissue-source sites intact.</w:t>
      </w:r>
    </w:p>
    <w:p>
      <w:pPr>
        <w:spacing w:after="120" w:line="264" w:lineRule="auto"/>
      </w:pPr>
      <w:r>
        <w:rPr>
          <w:rFonts w:ascii="Calibri" w:hAnsi="Calibri"/>
          <w:b w:val="0"/>
          <w:i w:val="0"/>
          <w:color w:val="000000"/>
          <w:sz w:val="22"/>
        </w:rPr>
        <w:t>The dedicated repeated nested analysis predicted tissue-source site from TITAN representations in 27/32 evaluable cancers, with median multiclass macro balanced accuracy 0.628. This quantifies substantial confounding potential. The manuscript appropriately calls the endpoint analysis 'TCGA tissue-source-site-grouped internal validation' and does not interpret retained performance as proof of scanner, laboratory or institutional transportability. Tissue-source site remains an imperfect proxy, and smaller grouped folds can account for part—but not all—of the attenuation.</w:t>
      </w:r>
    </w:p>
    <w:p>
      <w:pPr>
        <w:pStyle w:val="Heading2"/>
        <w:keepNext/>
      </w:pPr>
      <w:r>
        <w:t>5. Metadata-stratified PLS–ridge benchmark</w:t>
      </w:r>
    </w:p>
    <w:p>
      <w:pPr>
        <w:spacing w:after="120" w:line="264" w:lineRule="auto"/>
      </w:pPr>
      <w:r>
        <w:rPr>
          <w:rFonts w:ascii="Calibri" w:hAnsi="Calibri"/>
          <w:b w:val="0"/>
          <w:i w:val="0"/>
          <w:color w:val="000000"/>
          <w:sz w:val="22"/>
        </w:rPr>
        <w:t>The revised comparison is no longer conditional on successful PLS screening. All 2,073 eligible tests entered a metadata-only sampling frame, and a fixed salted SHA-256 rank selected one target from each non-empty outcome-family × sample-size-tercile cell, with an additional minority-class-fraction tercile for binary outcomes. The resulting 47-target benchmark comprises 12 continuous and 35 binary endpoints; only 14 were PLS screen-positive and 33 were screen-negative. This is a representative benchmark, not an atlas-wide ridge screen. Both methods use the same patients, five repeated outer partitions and inner partitions. Continuous PLS components and ridge penalties are each selected by maximising pooled inner out-of-fold Q². Binary PLS–LDA components and ridge penalties are tuned within the same inner folds, and both operating thresholds are selected from method-specific inner out-of-fold scores by maximising balanced accuracy. Threshold-independent AUROC is the primary binary comparison metric: the median ridge-minus-PLS difference is 0.008 (IQR -0.002 to 0.027); 8 endpoints favour ridge, 0 favour PLS and 27 are uncertain. Under symmetric thresholding, the median balanced-accuracy difference is 0.012 (IQR 0.005 to 0.025); 4 favour ridge, 0 favour PLS and 31 are uncertain.</w:t>
      </w:r>
    </w:p>
    <w:p>
      <w:pPr>
        <w:spacing w:after="120" w:line="264" w:lineRule="auto"/>
      </w:pPr>
      <w:r>
        <w:rPr>
          <w:rFonts w:ascii="Calibri" w:hAnsi="Calibri"/>
          <w:b w:val="0"/>
          <w:i w:val="0"/>
          <w:color w:val="000000"/>
          <w:sz w:val="22"/>
        </w:rPr>
        <w:t>For continuous outcomes, the median ridge-minus-PLS Q² difference is 0.053 (IQR 0.031 to 0.136); 10/12 favour ridge, none favour PLS and 2 are uncertain. The secondary Spearman difference has median -0.009; 3 favour ridge, 2 favour PLS and 7 are uncertain. The 2,000-replicate paired patient-resampling intervals are conditional on the fixed representative sample, folds and predictions and do not refit either model. These results do not establish PLS as the best model. The primary atlas appropriately retains PLS only as its prespecified reference analysis; the released PLS models should not be described as algorithmically optimal.</w:t>
      </w:r>
    </w:p>
    <w:p>
      <w:pPr>
        <w:pStyle w:val="Heading2"/>
        <w:keepNext/>
      </w:pPr>
      <w:r>
        <w:t>6. Binary class size and development stability</w:t>
      </w:r>
    </w:p>
    <w:p>
      <w:pPr>
        <w:spacing w:after="120" w:line="264" w:lineRule="auto"/>
      </w:pPr>
      <w:r>
        <w:rPr>
          <w:rFonts w:ascii="Calibri" w:hAnsi="Calibri"/>
          <w:b w:val="0"/>
          <w:i w:val="0"/>
          <w:color w:val="000000"/>
          <w:sz w:val="22"/>
        </w:rPr>
        <w:t>The authors have now separated screening inclusiveness from model maturity. Of 459 binary pairs eligible under the prespecified 20-per-class rule, 244 (53.2%) meet a stricter 50-per-class rule. Among 104 screen-positive binary models, 87 (83.7%) meet the stricter standard and 17 are now designated exploratory/limited evidence. None of the main highlighted binary models is limited evidence. The package retains the complete atlas for transparency but excludes the 17 limited models from default inference; explicit opt-in emits a warning.</w:t>
      </w:r>
    </w:p>
    <w:p>
      <w:pPr>
        <w:spacing w:after="120" w:line="264" w:lineRule="auto"/>
      </w:pPr>
      <w:r>
        <w:rPr>
          <w:rFonts w:ascii="Calibri" w:hAnsi="Calibri"/>
          <w:b w:val="0"/>
          <w:i w:val="0"/>
          <w:color w:val="000000"/>
          <w:sz w:val="22"/>
        </w:rPr>
        <w:t>The reliability supplement now provides class counts for every repeated outer fold, exact reconstructed inner-fold class minima, selected-component distributions across 25 fits per model, average precision, TCGA-prevalence PPV/NPV, repeat score and call stability, and fixed-test-fold learning curves at 50%, 75% and 100% of the outer-training data. The limited models had as few as 4 positive cases in an outer test fold, 12 positive cases in an inner training fold and 3 in an inner validation fold. At full training size, their median balanced accuracy was 0.636, median AUROC 0.738 and median PR-AUC 0.389. Component selection frequently reached the prespecified ceiling, supporting the decision not to present these models beside substantially better-supported ones.</w:t>
      </w:r>
    </w:p>
    <w:p>
      <w:pPr>
        <w:spacing w:after="120" w:line="264" w:lineRule="auto"/>
      </w:pPr>
      <w:r>
        <w:rPr>
          <w:rFonts w:ascii="Calibri" w:hAnsi="Calibri"/>
          <w:b/>
          <w:i w:val="0"/>
          <w:color w:val="000000"/>
          <w:sz w:val="22"/>
        </w:rPr>
        <w:t>No further internal sample-size analysis is requested.</w:t>
      </w:r>
      <w:r>
        <w:rPr>
          <w:rFonts w:ascii="Calibri" w:hAnsi="Calibri"/>
          <w:b w:val="0"/>
          <w:i w:val="0"/>
          <w:color w:val="000000"/>
          <w:sz w:val="22"/>
        </w:rPr>
        <w:t xml:space="preserve"> Retain these models only in the clearly separated exploratory tier, keep them out of default inference, and do not interpret learning curves or repeat stability as substitutes for independent validation.</w:t>
      </w:r>
    </w:p>
    <w:p>
      <w:pPr>
        <w:pStyle w:val="Heading2"/>
        <w:keepNext/>
      </w:pPr>
      <w:r>
        <w:t>7. Selection-conditioned uncertainty</w:t>
      </w:r>
    </w:p>
    <w:p>
      <w:pPr>
        <w:spacing w:after="120" w:line="264" w:lineRule="auto"/>
      </w:pPr>
      <w:r>
        <w:rPr>
          <w:rFonts w:ascii="Calibri" w:hAnsi="Calibri"/>
          <w:b w:val="0"/>
          <w:i w:val="0"/>
          <w:color w:val="000000"/>
          <w:sz w:val="22"/>
        </w:rPr>
        <w:t>The revised manuscript no longer presents generic '95% bootstrap intervals' or '95% confidence intervals' for the highlighted TCGA results. The abstract and table captions define these as 95% selection-conditioned patient-resampling intervals for repeated out-of-fold predictions. Each replicate samples patients as clusters, retains all five existing held-out predictions, recalculates the metric within repeat and averages across repeats. The Methods now distinguish represented patient-sampling variability from excluded screening/highlighting uncertainty, new-fold variability, retuning/refitting variability, winner's-curse correction and external cohort/site/scanner/population variation.</w:t>
      </w:r>
    </w:p>
    <w:p>
      <w:pPr>
        <w:spacing w:after="120" w:line="264" w:lineRule="auto"/>
      </w:pPr>
      <w:r>
        <w:rPr>
          <w:rFonts w:ascii="Calibri" w:hAnsi="Calibri"/>
          <w:b w:val="0"/>
          <w:i w:val="0"/>
          <w:color w:val="000000"/>
          <w:sz w:val="22"/>
        </w:rPr>
        <w:t>The PLS–ridge comparison has also been strengthened. For repeat r, the paired difference is d_r=M_r(ridge)−M_r(PLS), with Δ=(1/5)Σ_r d_r. A 2,000-replicate paired patient bootstrap samples patients with replacement while retaining both methods and all five matched repeat predictions; percentile limits are calculated from the resulting Δ values. The matched predictions and all 235 repeat-specific differences are machine-readable. The interval conditions on the metadata-stratified representative sample and does not regenerate partitions or refit either algorithm inside a bootstrap replicate, which is now stated explicitly.</w:t>
      </w:r>
    </w:p>
    <w:p>
      <w:pPr>
        <w:spacing w:after="120" w:line="264" w:lineRule="auto"/>
      </w:pPr>
      <w:r>
        <w:rPr>
          <w:rFonts w:ascii="Calibri" w:hAnsi="Calibri"/>
          <w:b/>
          <w:i w:val="0"/>
          <w:color w:val="000000"/>
          <w:sz w:val="22"/>
        </w:rPr>
        <w:t>No additional internal uncertainty analysis is requested.</w:t>
      </w:r>
      <w:r>
        <w:rPr>
          <w:rFonts w:ascii="Calibri" w:hAnsi="Calibri"/>
          <w:b w:val="0"/>
          <w:i w:val="0"/>
          <w:color w:val="000000"/>
          <w:sz w:val="22"/>
        </w:rPr>
        <w:t xml:space="preserve"> Preserve the full interval label in the abstract and define the SC abbreviation in every applicable table; do not relabel these intervals as generalisation confidence intervals during copyediting.</w:t>
      </w:r>
    </w:p>
    <w:p>
      <w:pPr>
        <w:pStyle w:val="Heading2"/>
        <w:keepNext/>
      </w:pPr>
      <w:r>
        <w:t>8.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spacing w:after="120" w:line="264" w:lineRule="auto"/>
      </w:pPr>
      <w:r>
        <w:rPr>
          <w:rFonts w:ascii="Calibri" w:hAnsi="Calibri"/>
          <w:b w:val="0"/>
          <w:i w:val="0"/>
          <w:color w:val="000000"/>
          <w:sz w:val="22"/>
        </w:rPr>
        <w:t>PLS2 remains a secondary, hypothesis-generating analysis because it answers a different multiresponse question. Within complete-case, ordered inflammatory panels it improved mean cancer-level Q² by 0.066 for inferred cell fractions, 0.017 for infiltration scores and 0.056 for immune-repertoire features. However, the shared latent solution changes the estimand and eligible complete-case population, has no binary analogue in this resource, and has not been compared with a matched multiresponse ridge baseline or independently validated. It should therefore not replace the endpoint-wise primary benchmark post hoc. A future locked multiresponse study could evaluate PLS2 and alternative multitask models on identical cohorts and external data. Portability is not unique to PLS; both PLS and ridge yield compact exportable linear parameters.</w:t>
      </w:r>
    </w:p>
    <w:p>
      <w:pPr>
        <w:pStyle w:val="Heading2"/>
        <w:keepNext/>
      </w:pPr>
      <w:r>
        <w:t>9. Endpoint provenance and morphological interpretation</w:t>
      </w:r>
    </w:p>
    <w:p>
      <w:pPr>
        <w:spacing w:after="120" w:line="264" w:lineRule="auto"/>
      </w:pPr>
      <w:r>
        <w:rPr>
          <w:rFonts w:ascii="Calibri" w:hAnsi="Calibri"/>
          <w:b w:val="0"/>
          <w:i w:val="0"/>
          <w:color w:val="000000"/>
          <w:sz w:val="22"/>
        </w:rPr>
        <w:t>The revision now distinguishes the label-generating assays and algorithms rather than presenting all continuous targets as equivalent immune measurements. The complete 2,073-row endpoint dictionary covers every eligible cancer–endpoint test and records source modality, direct/inferred status, derivation algorithm, original scale, analysis transformation, target-specific missingness, expected measurement error, biological interpretation and an assay-equivalence caveat. Its 194 unique definitions are also supplied separately. The high-level classes are direct sequence-supported alterations, sequencing-derived burdens, inferred immune-cell fractions, transcriptomic signatures, pathology-associated quantities and composite genomic-context scores. CIBERSORT fractions are correctly described as bulk-RNA deconvolution outputs, leukocyte fraction as methylation-derived and TIL Regional Fraction as an H&amp;E-derived Saltz quantity. The text appropriately states that prediction of these inferred phenotypes is not equivalent to a direct cell count, IHC, flow cytometry or a clinically certified biomarker.</w:t>
      </w:r>
    </w:p>
    <w:p>
      <w:pPr>
        <w:spacing w:after="120" w:line="264" w:lineRule="auto"/>
      </w:pPr>
      <w:r>
        <w:rPr>
          <w:rFonts w:ascii="Calibri" w:hAnsi="Calibri"/>
          <w:b w:val="0"/>
          <w:i w:val="0"/>
          <w:color w:val="000000"/>
          <w:sz w:val="22"/>
        </w:rPr>
        <w:t>The authors also add a qualitative context analysis with 20 records across five representative models. High/low repeated-OOF anchors are paired with their nearest within-cancer patient-level mean TITAN neighbour, and the table preserves exact patient/slide identifiers, original predictions, ranks, cosine similarities and generated-report context. This is a useful transparency step, especially because the BLCA TIL Regional Fraction panel is explicitly identified as same-H&amp;E-modality concordance. However, global pooled embeddings do not localise relevant patches, and TCGA-Slide-Reports text generated by TITAN from the same images is not independent evidence or blinded pathology review. The manuscript now states those limits plainly.</w:t>
      </w:r>
    </w:p>
    <w:p>
      <w:pPr>
        <w:spacing w:after="120" w:line="264" w:lineRule="auto"/>
      </w:pPr>
      <w:r>
        <w:rPr>
          <w:rFonts w:ascii="Calibri" w:hAnsi="Calibri"/>
          <w:b/>
          <w:i w:val="0"/>
          <w:color w:val="000000"/>
          <w:sz w:val="22"/>
        </w:rPr>
        <w:t>No additional internal interpretability claim is requested.</w:t>
      </w:r>
      <w:r>
        <w:rPr>
          <w:rFonts w:ascii="Calibri" w:hAnsi="Calibri"/>
          <w:b w:val="0"/>
          <w:i w:val="0"/>
          <w:color w:val="000000"/>
          <w:sz w:val="22"/>
        </w:rPr>
        <w:t xml:space="preserve"> Retain Figure S4 and Tables S13–S14 as qualitative context, not mechanistic evidence. Any future morphological explanation should preserve tile-level representations or relevance maps and undergo blinded pathologist review.</w:t>
      </w:r>
    </w:p>
    <w:p>
      <w:pPr>
        <w:pStyle w:val="Heading2"/>
        <w:keepNext/>
      </w:pPr>
      <w:r>
        <w:t>10. COAD software-interface illustration</w:t>
      </w:r>
    </w:p>
    <w:p>
      <w:pPr>
        <w:spacing w:after="120" w:line="264" w:lineRule="auto"/>
      </w:pPr>
      <w:r>
        <w:rPr>
          <w:rFonts w:ascii="Calibri" w:hAnsi="Calibri"/>
          <w:b w:val="0"/>
          <w:i w:val="0"/>
          <w:color w:val="000000"/>
          <w:sz w:val="22"/>
        </w:rPr>
        <w:t>At the authors' request, the two COAD participants and radar comparison remain in main Figure 7 solely to show the software output. The Results and caption state the full post hoc construction: clinical-text and profile-saturation restrictions followed by selection of the pair with maximum Euclidean separation across continuous TCGA OOF prediction percentiles. This makes clear that the visual contrast was designed after inspecting model outputs and is not representative sampling or performance evidence.</w:t>
      </w:r>
    </w:p>
    <w:p>
      <w:pPr>
        <w:spacing w:after="120" w:line="264" w:lineRule="auto"/>
      </w:pPr>
      <w:r>
        <w:rPr>
          <w:rFonts w:ascii="Calibri" w:hAnsi="Calibri"/>
          <w:b w:val="0"/>
          <w:i w:val="0"/>
          <w:color w:val="000000"/>
          <w:sz w:val="22"/>
        </w:rPr>
        <w:t>The case language is now appropriately limited. TCGA-AA-A01F is reported as pN1, whereas the available slide summary for TCGA-AA-3972 contains no nodal category; no claim of clinical comparability remains. Treatment, response, recurrence, follow-up and survival narratives have been removed because these variables were neither model inputs nor validation outcomes. The package tutorial separately uses a synthetic non-patient vector for routine smoke testing.</w:t>
      </w:r>
    </w:p>
    <w:p>
      <w:pPr>
        <w:spacing w:after="120" w:line="264" w:lineRule="auto"/>
      </w:pPr>
      <w:r>
        <w:rPr>
          <w:rFonts w:ascii="Calibri" w:hAnsi="Calibri"/>
          <w:b w:val="0"/>
          <w:i w:val="0"/>
          <w:color w:val="000000"/>
          <w:sz w:val="22"/>
        </w:rPr>
        <w:t>The package report makes the principal limitations visually prominent: its banner states 'UNVALIDATED RESEARCH OUTPUT', 'TCGA OOF score rank (not probability)', 'No independent external validation' and 'Not for diagnosis, treatment selection, or clinical risk estimation'. Binary plots and tables place '(not probability)' directly beside every score-rank label, and machine-readable inference rows expose an explicit false probability flag and uncalibrated status. No further case-based clinical interpretation is justified.</w:t>
      </w:r>
    </w:p>
    <w:p>
      <w:pPr>
        <w:pStyle w:val="Heading2"/>
        <w:keepNext/>
      </w:pPr>
      <w:r>
        <w:t>11.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with 306 in default inference and 17 limited-evidence binary models requiring explicit opt-in,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12.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and the endpoint dictionary in Table S13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primary-screen continuous prediction with explicit held-out metrics. These corrected production figures should be retained.</w:t>
      </w:r>
    </w:p>
    <w:p>
      <w:pPr>
        <w:pStyle w:val="Heading3"/>
        <w:keepNext/>
      </w:pPr>
      <w:r>
        <w:t>Primary versus repeated estimates</w:t>
      </w:r>
    </w:p>
    <w:p>
      <w:pPr>
        <w:spacing w:after="120" w:line="264" w:lineRule="auto"/>
      </w:pPr>
      <w:r>
        <w:rPr>
          <w:rFonts w:ascii="Calibri" w:hAnsi="Calibri"/>
          <w:b w:val="0"/>
          <w:i w:val="0"/>
          <w:color w:val="000000"/>
          <w:sz w:val="22"/>
        </w:rPr>
        <w:t>The revision now distinguishes the initial nested-CV primary screening estimate from the mean across five additional nested-CV repeats. Supplementary Table S6a reports both; THYM–Th17 is transparently labelled Q² 0.638 in the screen and 0.594 in repeated validation. The difference is expected resampling variation, not an inconsistency.</w:t>
      </w:r>
    </w:p>
    <w:p>
      <w:pPr>
        <w:pStyle w:val="Heading3"/>
        <w:keepNext/>
      </w:pPr>
      <w:r>
        <w:t>Manuscript density</w:t>
      </w:r>
    </w:p>
    <w:p>
      <w:pPr>
        <w:spacing w:after="120" w:line="264" w:lineRule="auto"/>
      </w:pPr>
      <w:r>
        <w:rPr>
          <w:rFonts w:ascii="Calibri" w:hAnsi="Calibri"/>
          <w:b w:val="0"/>
          <w:i w:val="0"/>
          <w:color w:val="000000"/>
          <w:sz w:val="22"/>
        </w:rPr>
        <w:t>The main paper is appropriately streamlined as a research article: the review-style literature comparison table has been removed, and the oversized highlighted-model performance table has moved to Supplementary Table S6a without loss of metrics. The main manuscript now contains only two compact tables.</w:t>
      </w:r>
    </w:p>
    <w:p>
      <w:pPr>
        <w:pStyle w:val="Heading3"/>
        <w:keepNext/>
      </w:pPr>
      <w:r>
        <w:t>Screening tiers</w:t>
      </w:r>
    </w:p>
    <w:p>
      <w:pPr>
        <w:spacing w:after="120" w:line="264" w:lineRule="auto"/>
      </w:pPr>
      <w:r>
        <w:rPr>
          <w:rFonts w:ascii="Calibri" w:hAnsi="Calibri"/>
          <w:b w:val="0"/>
          <w:i w:val="0"/>
          <w:color w:val="000000"/>
          <w:sz w:val="22"/>
        </w:rPr>
        <w:t>The neutral labels prespecified screening tier A/B are appropriate. They are clearly defined as prioritisation rules rather than established clinical or statistical effect categories.</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distinguishes inferred immune and inflammatory features from direct alterations and other derived genomic phenotypes.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because it changes the estimand and complete-case population; PLS is presented as the prespecified reference rather than the best method.</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