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immune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using patient-level nested PLS1 or PLS–LDA. Effect-eligible models underwent 999 complete-process permutations with conservative stopping, exact Monte Carlo intervals and Benjamini–Hochberg corrections locally, across cancers and atlas-wide. Eight prespecified leading models were extended to 9,999 permutations.</w:t>
      </w:r>
    </w:p>
    <w:p>
      <w:r>
        <w:rPr>
          <w:b/>
        </w:rPr>
        <w:t xml:space="preserve">Results. </w:t>
      </w:r>
      <w:r>
        <w:t>Within-cancer screening identified 219 continuous and 104 binary higher- or moderate-effect candidates. A stricter ≥50-per-class sensitivity retained 87/104 binary candidates; 17 smaller-class models were separated as exploratory and excluded from default inference. Highlighted repeated-CV results included TGCT–TGF-beta Response (Q² 0.670, selection-conditioned 95% patient-resampling interval 0.573–0.741; RMSE 0.303, Spearman 0.791) and LGG–TP53 (sensitivity 0.839, specificity 0.885, balanced accuracy 0.862, selection-conditioned 95% patient-resampling interval 0.833–0.888; AUROC 0.908). Prior studies supported 38/41 screen-positive cancer–gene pairs. 320/323 local candidates passed single BH correction across all 2,073 eligible tests. For zero exceedances among 999 permutations, the 95% Monte Carlo interval was 0–0.003686; targeted 9,999-permutation p-values were all 0.0001. Tissue-source-site grouping reduced 83/323 candidates (25.7%) below the original effect threshold. In a selection-conditioned benchmark, median ridge-minus-PLS differences were 0.004 AUROC and 0.014 Q².</w:t>
      </w:r>
    </w:p>
    <w:p>
      <w:r>
        <w:rPr>
          <w:b/>
        </w:rPr>
        <w:t xml:space="preserve">Conclusions. </w:t>
      </w:r>
      <w:r>
        <w:t>This systematic patient-level benchmark defines internally derived TCGA estimates under one fixed pretrained TITAN representation and constructs compact research models for future locked evaluation. Its contribution is methodological and resource-oriented rather than mutation-target novelty. No independent performance evidence is presented, and clinical interpretation or application is not supported.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immune and genomic-context measurements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For every outer fold, PLS and ridge used identical patients, outer splits and inner splits. PLS component count and ridge penalty were selected entirely within the outer training set. For binary models, each method's operating threshold was selected by the same rule: maximise balanced accuracy on that method's inner out-of-fold continuous scores, without access to the outer test fold. Threshold-independent AUROC was the primary binary algorithm-comparison metric, and balanced accuracy from these symmetrically selected thresholds was secondary. Continuous comparisons retained Q² as primary and Spearman correlation as secondary. For repeat r, the paired difference was d_r=M_r(ridge)−M_r(PLS), and the reported point difference was Δ=(1/5)Σ_r d_r. We formed 2,000 selection-conditioned paired patient-resampling replicates by sampling patients with replacement, retaining all five matched out-of-fold predictions from both algorithms for each sampled patient, recalculating d_r within repeat and then Δ. The 2.5th and 97.5th percentiles formed the paired interval. No new partitions were generated and neither algorithm was refitted within a bootstrap replicate. Because endpoints entered this benchmark after the PLS screen, the interval also excludes screening and highlighting uncertainty and cannot establish screen-wide algorithmic superiority. Ridge was chosen as a simple linear baseline whose fitted coefficients can be exported without retaining training embeddings; nonlinear kernel predictors requiring training observations or landmarks at inference did not satisfy that portability constraint.</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Models are ordered by effect magnitude, with repeated and site-grouped stability reported alongside; tied permutation q-values are not used for ranking. These categories prioritise candidates for further testing and are not clinical grades.</w:t>
      </w:r>
    </w:p>
    <w:p>
      <w:pPr>
        <w:pStyle w:val="Heading2"/>
      </w:pPr>
      <w:r>
        <w:t>Robustness and saved models</w:t>
      </w:r>
    </w:p>
    <w:p>
      <w:r>
        <w:t>Only endpoints passing the initial atlas screen entered five independently seeded repeated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S1–S3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predictive effect magnitude,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among the 87 models with at least 50 positive and 50 negative patients. Point size represents the number of positive patients; colour indicates endpoint family and symbols report across-cancer correction status. The 17 exploratory/limited-evidence models are excluded from this main panel and shown separately in Supplementary Figure S3.</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binary reliability and tissue-source-site-grouped internal sensitivity. SC interval denotes the 95% selection-conditioned patient-resampling interval for repeated out-of-fold predictions: it resamples patients from five fixed prediction sets without repeating screening, fold generation, tuning or model fitting. Panel A reports discrimination/error metrics and grouped sensitivity. Panel B adds class-size and prevalence-dependent binary metrics. These intervals, grouped estimates and predictive values are internal to TCGA, not generalisation confidence intervals or external-validation results.</w:t>
      </w:r>
    </w:p>
    <w:p>
      <w:pPr>
        <w:pStyle w:val="Caption"/>
      </w:pPr>
      <w:r>
        <w:t>Panel A. Primary and secondary performance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Type</w:t>
            </w:r>
          </w:p>
        </w:tc>
        <w:tc>
          <w:tcPr>
            <w:tcW w:type="dxa" w:w="1569"/>
          </w:tcPr>
          <w:p>
            <w:r>
              <w:rPr>
                <w:b/>
                <w:sz w:val="17"/>
              </w:rPr>
              <w:t>Q² or Se/Sp (95% SC interval)</w:t>
            </w:r>
          </w:p>
        </w:tc>
        <w:tc>
          <w:tcPr>
            <w:tcW w:type="dxa" w:w="1569"/>
          </w:tcPr>
          <w:p>
            <w:r>
              <w:rPr>
                <w:b/>
                <w:sz w:val="17"/>
              </w:rPr>
              <w:t>RMSE or BA (95% SC interval)</w:t>
            </w:r>
          </w:p>
        </w:tc>
        <w:tc>
          <w:tcPr>
            <w:tcW w:type="dxa" w:w="1569"/>
          </w:tcPr>
          <w:p>
            <w:r>
              <w:rPr>
                <w:b/>
                <w:sz w:val="17"/>
              </w:rPr>
              <w:t>Spearman or AUROC (95% SC interval)</w:t>
            </w:r>
          </w:p>
        </w:tc>
        <w:tc>
          <w:tcPr>
            <w:tcW w:type="dxa" w:w="1569"/>
          </w:tcPr>
          <w:p>
            <w:r>
              <w:rPr>
                <w:b/>
                <w:sz w:val="17"/>
              </w:rPr>
              <w:t>TSS-grouped metric/status</w:t>
            </w:r>
          </w:p>
        </w:tc>
      </w:tr>
      <w:tr>
        <w:trPr>
          <w:cantSplit/>
        </w:trPr>
        <w:tc>
          <w:tcPr>
            <w:tcW w:type="dxa" w:w="1569"/>
            <w:vAlign w:val="center"/>
          </w:tcPr>
          <w:p>
            <w:r>
              <w:rPr>
                <w:sz w:val="16"/>
              </w:rPr>
              <w:t>TGCT–TGF-beta Response</w:t>
            </w:r>
          </w:p>
        </w:tc>
        <w:tc>
          <w:tcPr>
            <w:tcW w:type="dxa" w:w="1569"/>
            <w:vAlign w:val="center"/>
          </w:tcPr>
          <w:p>
            <w:r>
              <w:rPr>
                <w:sz w:val="16"/>
              </w:rPr>
              <w:t>continuous</w:t>
            </w:r>
          </w:p>
        </w:tc>
        <w:tc>
          <w:tcPr>
            <w:tcW w:type="dxa" w:w="1569"/>
            <w:vAlign w:val="center"/>
          </w:tcPr>
          <w:p>
            <w:r>
              <w:rPr>
                <w:sz w:val="16"/>
              </w:rPr>
              <w:t>0.670 (0.573–0.741)</w:t>
            </w:r>
          </w:p>
        </w:tc>
        <w:tc>
          <w:tcPr>
            <w:tcW w:type="dxa" w:w="1569"/>
            <w:vAlign w:val="center"/>
          </w:tcPr>
          <w:p>
            <w:r>
              <w:rPr>
                <w:sz w:val="16"/>
              </w:rPr>
              <w:t>0.303 (0.269–0.337)</w:t>
            </w:r>
          </w:p>
        </w:tc>
        <w:tc>
          <w:tcPr>
            <w:tcW w:type="dxa" w:w="1569"/>
            <w:vAlign w:val="center"/>
          </w:tcPr>
          <w:p>
            <w:r>
              <w:rPr>
                <w:sz w:val="16"/>
              </w:rPr>
              <w:t>0.791 (0.713–0.842)</w:t>
            </w:r>
          </w:p>
        </w:tc>
        <w:tc>
          <w:tcPr>
            <w:tcW w:type="dxa" w:w="1569"/>
            <w:vAlign w:val="center"/>
          </w:tcPr>
          <w:p>
            <w:r>
              <w:rPr>
                <w:sz w:val="16"/>
              </w:rPr>
              <w:t xml:space="preserve">Q² NA; </w:t>
            </w:r>
          </w:p>
        </w:tc>
      </w:tr>
      <w:tr>
        <w:trPr>
          <w:cantSplit/>
        </w:trPr>
        <w:tc>
          <w:tcPr>
            <w:tcW w:type="dxa" w:w="1569"/>
            <w:vAlign w:val="center"/>
          </w:tcPr>
          <w:p>
            <w:r>
              <w:rPr>
                <w:sz w:val="16"/>
              </w:rPr>
              <w:t>THYM–Th17 Cells</w:t>
            </w:r>
          </w:p>
        </w:tc>
        <w:tc>
          <w:tcPr>
            <w:tcW w:type="dxa" w:w="1569"/>
            <w:vAlign w:val="center"/>
          </w:tcPr>
          <w:p>
            <w:r>
              <w:rPr>
                <w:sz w:val="16"/>
              </w:rPr>
              <w:t>continuous</w:t>
            </w:r>
          </w:p>
        </w:tc>
        <w:tc>
          <w:tcPr>
            <w:tcW w:type="dxa" w:w="1569"/>
            <w:vAlign w:val="center"/>
          </w:tcPr>
          <w:p>
            <w:r>
              <w:rPr>
                <w:sz w:val="16"/>
              </w:rPr>
              <w:t>0.594 (0.455–0.698)</w:t>
            </w:r>
          </w:p>
        </w:tc>
        <w:tc>
          <w:tcPr>
            <w:tcW w:type="dxa" w:w="1569"/>
            <w:vAlign w:val="center"/>
          </w:tcPr>
          <w:p>
            <w:r>
              <w:rPr>
                <w:sz w:val="16"/>
              </w:rPr>
              <w:t>1743.443 (1514.535–1979.481)</w:t>
            </w:r>
          </w:p>
        </w:tc>
        <w:tc>
          <w:tcPr>
            <w:tcW w:type="dxa" w:w="1569"/>
            <w:vAlign w:val="center"/>
          </w:tcPr>
          <w:p>
            <w:r>
              <w:rPr>
                <w:sz w:val="16"/>
              </w:rPr>
              <w:t>0.738 (0.636–0.811)</w:t>
            </w:r>
          </w:p>
        </w:tc>
        <w:tc>
          <w:tcPr>
            <w:tcW w:type="dxa" w:w="1569"/>
            <w:vAlign w:val="center"/>
          </w:tcPr>
          <w:p>
            <w:r>
              <w:rPr>
                <w:sz w:val="16"/>
              </w:rPr>
              <w:t xml:space="preserve">Q² NA; </w:t>
            </w:r>
          </w:p>
        </w:tc>
      </w:tr>
      <w:tr>
        <w:trPr>
          <w:cantSplit/>
        </w:trPr>
        <w:tc>
          <w:tcPr>
            <w:tcW w:type="dxa" w:w="1569"/>
            <w:vAlign w:val="center"/>
          </w:tcPr>
          <w:p>
            <w:r>
              <w:rPr>
                <w:sz w:val="16"/>
              </w:rPr>
              <w:t>THCA–Lymphocyte Infiltration Signature Score</w:t>
            </w:r>
          </w:p>
        </w:tc>
        <w:tc>
          <w:tcPr>
            <w:tcW w:type="dxa" w:w="1569"/>
            <w:vAlign w:val="center"/>
          </w:tcPr>
          <w:p>
            <w:r>
              <w:rPr>
                <w:sz w:val="16"/>
              </w:rPr>
              <w:t>continuous</w:t>
            </w:r>
          </w:p>
        </w:tc>
        <w:tc>
          <w:tcPr>
            <w:tcW w:type="dxa" w:w="1569"/>
            <w:vAlign w:val="center"/>
          </w:tcPr>
          <w:p>
            <w:r>
              <w:rPr>
                <w:sz w:val="16"/>
              </w:rPr>
              <w:t>0.577 (0.511–0.636)</w:t>
            </w:r>
          </w:p>
        </w:tc>
        <w:tc>
          <w:tcPr>
            <w:tcW w:type="dxa" w:w="1569"/>
            <w:vAlign w:val="center"/>
          </w:tcPr>
          <w:p>
            <w:r>
              <w:rPr>
                <w:sz w:val="16"/>
              </w:rPr>
              <w:t>0.781 (0.722–0.844)</w:t>
            </w:r>
          </w:p>
        </w:tc>
        <w:tc>
          <w:tcPr>
            <w:tcW w:type="dxa" w:w="1569"/>
            <w:vAlign w:val="center"/>
          </w:tcPr>
          <w:p>
            <w:r>
              <w:rPr>
                <w:sz w:val="16"/>
              </w:rPr>
              <w:t>0.742 (0.693–0.786)</w:t>
            </w:r>
          </w:p>
        </w:tc>
        <w:tc>
          <w:tcPr>
            <w:tcW w:type="dxa" w:w="1569"/>
            <w:vAlign w:val="center"/>
          </w:tcPr>
          <w:p>
            <w:r>
              <w:rPr>
                <w:sz w:val="16"/>
              </w:rPr>
              <w:t xml:space="preserve">Q² NA; </w:t>
            </w:r>
          </w:p>
        </w:tc>
      </w:tr>
      <w:tr>
        <w:trPr>
          <w:cantSplit/>
        </w:trPr>
        <w:tc>
          <w:tcPr>
            <w:tcW w:type="dxa" w:w="1569"/>
            <w:vAlign w:val="center"/>
          </w:tcPr>
          <w:p>
            <w:r>
              <w:rPr>
                <w:sz w:val="16"/>
              </w:rPr>
              <w:t>BRCA–Wound Healing</w:t>
            </w:r>
          </w:p>
        </w:tc>
        <w:tc>
          <w:tcPr>
            <w:tcW w:type="dxa" w:w="1569"/>
            <w:vAlign w:val="center"/>
          </w:tcPr>
          <w:p>
            <w:r>
              <w:rPr>
                <w:sz w:val="16"/>
              </w:rPr>
              <w:t>continuous</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 xml:space="preserve">Q² NA; </w:t>
            </w:r>
          </w:p>
        </w:tc>
      </w:tr>
      <w:tr>
        <w:trPr>
          <w:cantSplit/>
        </w:trPr>
        <w:tc>
          <w:tcPr>
            <w:tcW w:type="dxa" w:w="1569"/>
            <w:vAlign w:val="center"/>
          </w:tcPr>
          <w:p>
            <w:r>
              <w:rPr>
                <w:sz w:val="16"/>
              </w:rPr>
              <w:t>LGG–TP53</w:t>
            </w:r>
          </w:p>
        </w:tc>
        <w:tc>
          <w:tcPr>
            <w:tcW w:type="dxa" w:w="1569"/>
            <w:vAlign w:val="center"/>
          </w:tcPr>
          <w:p>
            <w:r>
              <w:rPr>
                <w:sz w:val="16"/>
              </w:rPr>
              <w:t>binary</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 xml:space="preserve">BA NA; </w:t>
            </w:r>
          </w:p>
        </w:tc>
      </w:tr>
      <w:tr>
        <w:trPr>
          <w:cantSplit/>
        </w:trPr>
        <w:tc>
          <w:tcPr>
            <w:tcW w:type="dxa" w:w="1569"/>
            <w:vAlign w:val="center"/>
          </w:tcPr>
          <w:p>
            <w:r>
              <w:rPr>
                <w:sz w:val="16"/>
              </w:rPr>
              <w:t>THYM–GTF2I</w:t>
            </w:r>
          </w:p>
        </w:tc>
        <w:tc>
          <w:tcPr>
            <w:tcW w:type="dxa" w:w="1569"/>
            <w:vAlign w:val="center"/>
          </w:tcPr>
          <w:p>
            <w:r>
              <w:rPr>
                <w:sz w:val="16"/>
              </w:rPr>
              <w:t>binary</w:t>
            </w:r>
          </w:p>
        </w:tc>
        <w:tc>
          <w:tcPr>
            <w:tcW w:type="dxa" w:w="1569"/>
            <w:vAlign w:val="center"/>
          </w:tcPr>
          <w:p>
            <w:r>
              <w:rPr>
                <w:sz w:val="16"/>
              </w:rPr>
              <w:t>Se 0.878 (0.804–0.940); Sp 0.839 (0.748–0.916)</w:t>
            </w:r>
          </w:p>
        </w:tc>
        <w:tc>
          <w:tcPr>
            <w:tcW w:type="dxa" w:w="1569"/>
            <w:vAlign w:val="center"/>
          </w:tcPr>
          <w:p>
            <w:r>
              <w:rPr>
                <w:sz w:val="16"/>
              </w:rPr>
              <w:t>BA 0.859 (0.803–0.905)</w:t>
            </w:r>
          </w:p>
        </w:tc>
        <w:tc>
          <w:tcPr>
            <w:tcW w:type="dxa" w:w="1569"/>
            <w:vAlign w:val="center"/>
          </w:tcPr>
          <w:p>
            <w:r>
              <w:rPr>
                <w:sz w:val="16"/>
              </w:rPr>
              <w:t>AUROC 0.907 (0.852–0.955)</w:t>
            </w:r>
          </w:p>
        </w:tc>
        <w:tc>
          <w:tcPr>
            <w:tcW w:type="dxa" w:w="1569"/>
            <w:vAlign w:val="center"/>
          </w:tcPr>
          <w:p>
            <w:r>
              <w:rPr>
                <w:sz w:val="16"/>
              </w:rPr>
              <w:t xml:space="preserve">BA NA; </w:t>
            </w:r>
          </w:p>
        </w:tc>
      </w:tr>
      <w:tr>
        <w:trPr>
          <w:cantSplit/>
        </w:trPr>
        <w:tc>
          <w:tcPr>
            <w:tcW w:type="dxa" w:w="1569"/>
            <w:vAlign w:val="center"/>
          </w:tcPr>
          <w:p>
            <w:r>
              <w:rPr>
                <w:sz w:val="16"/>
              </w:rPr>
              <w:t>READ–TP53</w:t>
            </w:r>
          </w:p>
        </w:tc>
        <w:tc>
          <w:tcPr>
            <w:tcW w:type="dxa" w:w="1569"/>
            <w:vAlign w:val="center"/>
          </w:tcPr>
          <w:p>
            <w:r>
              <w:rPr>
                <w:sz w:val="16"/>
              </w:rPr>
              <w:t>binary</w:t>
            </w:r>
          </w:p>
        </w:tc>
        <w:tc>
          <w:tcPr>
            <w:tcW w:type="dxa" w:w="1569"/>
            <w:vAlign w:val="center"/>
          </w:tcPr>
          <w:p>
            <w:r>
              <w:rPr>
                <w:sz w:val="16"/>
              </w:rPr>
              <w:t>Se 0.912 (0.855–0.966); Sp 0.803 (0.704–0.890)</w:t>
            </w:r>
          </w:p>
        </w:tc>
        <w:tc>
          <w:tcPr>
            <w:tcW w:type="dxa" w:w="1569"/>
            <w:vAlign w:val="center"/>
          </w:tcPr>
          <w:p>
            <w:r>
              <w:rPr>
                <w:sz w:val="16"/>
              </w:rPr>
              <w:t>BA 0.858 (0.801–0.910)</w:t>
            </w:r>
          </w:p>
        </w:tc>
        <w:tc>
          <w:tcPr>
            <w:tcW w:type="dxa" w:w="1569"/>
            <w:vAlign w:val="center"/>
          </w:tcPr>
          <w:p>
            <w:r>
              <w:rPr>
                <w:sz w:val="16"/>
              </w:rPr>
              <w:t>AUROC 0.912 (0.860–0.956)</w:t>
            </w:r>
          </w:p>
        </w:tc>
        <w:tc>
          <w:tcPr>
            <w:tcW w:type="dxa" w:w="1569"/>
            <w:vAlign w:val="center"/>
          </w:tcPr>
          <w:p>
            <w:r>
              <w:rPr>
                <w:sz w:val="16"/>
              </w:rPr>
              <w:t xml:space="preserve">BA NA; </w:t>
            </w:r>
          </w:p>
        </w:tc>
      </w:tr>
      <w:tr>
        <w:trPr>
          <w:cantSplit/>
        </w:trPr>
        <w:tc>
          <w:tcPr>
            <w:tcW w:type="dxa" w:w="1569"/>
            <w:vAlign w:val="center"/>
          </w:tcPr>
          <w:p>
            <w:r>
              <w:rPr>
                <w:sz w:val="16"/>
              </w:rPr>
              <w:t>THCA–BRAF</w:t>
            </w:r>
          </w:p>
        </w:tc>
        <w:tc>
          <w:tcPr>
            <w:tcW w:type="dxa" w:w="1569"/>
            <w:vAlign w:val="center"/>
          </w:tcPr>
          <w:p>
            <w:r>
              <w:rPr>
                <w:sz w:val="16"/>
              </w:rPr>
              <w:t>binary</w:t>
            </w:r>
          </w:p>
        </w:tc>
        <w:tc>
          <w:tcPr>
            <w:tcW w:type="dxa" w:w="1569"/>
            <w:vAlign w:val="center"/>
          </w:tcPr>
          <w:p>
            <w:r>
              <w:rPr>
                <w:sz w:val="16"/>
              </w:rPr>
              <w:t>Se 0.926 (0.897–0.952); Sp 0.747 (0.688–0.801)</w:t>
            </w:r>
          </w:p>
        </w:tc>
        <w:tc>
          <w:tcPr>
            <w:tcW w:type="dxa" w:w="1569"/>
            <w:vAlign w:val="center"/>
          </w:tcPr>
          <w:p>
            <w:r>
              <w:rPr>
                <w:sz w:val="16"/>
              </w:rPr>
              <w:t>BA 0.837 (0.805–0.866)</w:t>
            </w:r>
          </w:p>
        </w:tc>
        <w:tc>
          <w:tcPr>
            <w:tcW w:type="dxa" w:w="1569"/>
            <w:vAlign w:val="center"/>
          </w:tcPr>
          <w:p>
            <w:r>
              <w:rPr>
                <w:sz w:val="16"/>
              </w:rPr>
              <w:t>AUROC 0.894 (0.862–0.924)</w:t>
            </w:r>
          </w:p>
        </w:tc>
        <w:tc>
          <w:tcPr>
            <w:tcW w:type="dxa" w:w="1569"/>
            <w:vAlign w:val="center"/>
          </w:tcPr>
          <w:p>
            <w:r>
              <w:rPr>
                <w:sz w:val="16"/>
              </w:rPr>
              <w:t xml:space="preserve">BA NA; </w:t>
            </w:r>
          </w:p>
        </w:tc>
      </w:tr>
    </w:tbl>
    <w:p/>
    <w:p>
      <w:pPr>
        <w:pStyle w:val="Caption"/>
      </w:pPr>
      <w:r>
        <w:t>Panel B. Binary class-size and prevalence-dependent reliability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2098"/>
          </w:tcPr>
          <w:p>
            <w:r>
              <w:rPr>
                <w:b/>
                <w:sz w:val="17"/>
              </w:rPr>
              <w:t>Cancer–endpoint</w:t>
            </w:r>
          </w:p>
        </w:tc>
        <w:tc>
          <w:tcPr>
            <w:tcW w:type="dxa" w:w="850"/>
          </w:tcPr>
          <w:p>
            <w:r>
              <w:rPr>
                <w:b/>
                <w:sz w:val="17"/>
              </w:rPr>
              <w:t>+/−</w:t>
            </w:r>
          </w:p>
        </w:tc>
        <w:tc>
          <w:tcPr>
            <w:tcW w:type="dxa" w:w="1701"/>
          </w:tcPr>
          <w:p>
            <w:r>
              <w:rPr>
                <w:b/>
                <w:sz w:val="17"/>
              </w:rPr>
              <w:t>PR-AUC (95% SC interval)</w:t>
            </w:r>
          </w:p>
        </w:tc>
        <w:tc>
          <w:tcPr>
            <w:tcW w:type="dxa" w:w="1871"/>
          </w:tcPr>
          <w:p>
            <w:r>
              <w:rPr>
                <w:b/>
                <w:sz w:val="17"/>
              </w:rPr>
              <w:t>PPV at TCGA prevalence (95% SC interval)</w:t>
            </w:r>
          </w:p>
        </w:tc>
        <w:tc>
          <w:tcPr>
            <w:tcW w:type="dxa" w:w="1871"/>
          </w:tcPr>
          <w:p>
            <w:r>
              <w:rPr>
                <w:b/>
                <w:sz w:val="17"/>
              </w:rPr>
              <w:t>NPV at TCGA prevalence (95% SC interval)</w:t>
            </w:r>
          </w:p>
        </w:tc>
        <w:tc>
          <w:tcPr>
            <w:tcW w:type="dxa" w:w="1984"/>
          </w:tcPr>
          <w:p>
            <w:r>
              <w:rPr>
                <w:b/>
                <w:sz w:val="17"/>
              </w:rPr>
              <w:t>Evidence/default</w:t>
            </w:r>
          </w:p>
        </w:tc>
      </w:tr>
      <w:tr>
        <w:trPr>
          <w:cantSplit/>
        </w:trPr>
        <w:tc>
          <w:tcPr>
            <w:tcW w:type="dxa" w:w="2098"/>
            <w:vAlign w:val="center"/>
          </w:tcPr>
          <w:p>
            <w:r>
              <w:rPr>
                <w:sz w:val="16"/>
              </w:rPr>
              <w:t>LGG–TP53</w:t>
            </w:r>
          </w:p>
        </w:tc>
        <w:tc>
          <w:tcPr>
            <w:tcW w:type="dxa" w:w="850"/>
            <w:vAlign w:val="center"/>
          </w:tcPr>
          <w:p>
            <w:r>
              <w:rPr>
                <w:sz w:val="16"/>
              </w:rPr>
              <w:t>232/253</w:t>
            </w:r>
          </w:p>
        </w:tc>
        <w:tc>
          <w:tcPr>
            <w:tcW w:type="dxa" w:w="1701"/>
            <w:vAlign w:val="center"/>
          </w:tcPr>
          <w:p>
            <w:r>
              <w:rPr>
                <w:sz w:val="16"/>
              </w:rPr>
              <w:t>0.880 (0.831–0.926)</w:t>
            </w:r>
          </w:p>
        </w:tc>
        <w:tc>
          <w:tcPr>
            <w:tcW w:type="dxa" w:w="1871"/>
            <w:vAlign w:val="center"/>
          </w:tcPr>
          <w:p>
            <w:r>
              <w:rPr>
                <w:sz w:val="16"/>
              </w:rPr>
              <w:t>0.870 (0.825–0.906)</w:t>
            </w:r>
          </w:p>
        </w:tc>
        <w:tc>
          <w:tcPr>
            <w:tcW w:type="dxa" w:w="1871"/>
            <w:vAlign w:val="center"/>
          </w:tcPr>
          <w:p>
            <w:r>
              <w:rPr>
                <w:sz w:val="16"/>
              </w:rPr>
              <w:t>0.857 (0.818–0.893)</w:t>
            </w:r>
          </w:p>
        </w:tc>
        <w:tc>
          <w:tcPr>
            <w:tcW w:type="dxa" w:w="1984"/>
            <w:vAlign w:val="center"/>
          </w:tcPr>
          <w:p>
            <w:r>
              <w:rPr>
                <w:sz w:val="16"/>
              </w:rPr>
              <w:t>standard internal evidence; included</w:t>
            </w:r>
          </w:p>
        </w:tc>
      </w:tr>
      <w:tr>
        <w:trPr>
          <w:cantSplit/>
        </w:trPr>
        <w:tc>
          <w:tcPr>
            <w:tcW w:type="dxa" w:w="2098"/>
            <w:vAlign w:val="center"/>
          </w:tcPr>
          <w:p>
            <w:r>
              <w:rPr>
                <w:sz w:val="16"/>
              </w:rPr>
              <w:t>THYM–GTF2I</w:t>
            </w:r>
          </w:p>
        </w:tc>
        <w:tc>
          <w:tcPr>
            <w:tcW w:type="dxa" w:w="850"/>
            <w:vAlign w:val="center"/>
          </w:tcPr>
          <w:p>
            <w:r>
              <w:rPr>
                <w:sz w:val="16"/>
              </w:rPr>
              <w:t>59/61</w:t>
            </w:r>
          </w:p>
        </w:tc>
        <w:tc>
          <w:tcPr>
            <w:tcW w:type="dxa" w:w="1701"/>
            <w:vAlign w:val="center"/>
          </w:tcPr>
          <w:p>
            <w:r>
              <w:rPr>
                <w:sz w:val="16"/>
              </w:rPr>
              <w:t>0.873 (0.794–0.947)</w:t>
            </w:r>
          </w:p>
        </w:tc>
        <w:tc>
          <w:tcPr>
            <w:tcW w:type="dxa" w:w="1871"/>
            <w:vAlign w:val="center"/>
          </w:tcPr>
          <w:p>
            <w:r>
              <w:rPr>
                <w:sz w:val="16"/>
              </w:rPr>
              <w:t>0.841 (0.756–0.918)</w:t>
            </w:r>
          </w:p>
        </w:tc>
        <w:tc>
          <w:tcPr>
            <w:tcW w:type="dxa" w:w="1871"/>
            <w:vAlign w:val="center"/>
          </w:tcPr>
          <w:p>
            <w:r>
              <w:rPr>
                <w:sz w:val="16"/>
              </w:rPr>
              <w:t>0.877 (0.791–0.942)</w:t>
            </w:r>
          </w:p>
        </w:tc>
        <w:tc>
          <w:tcPr>
            <w:tcW w:type="dxa" w:w="1984"/>
            <w:vAlign w:val="center"/>
          </w:tcPr>
          <w:p>
            <w:r>
              <w:rPr>
                <w:sz w:val="16"/>
              </w:rPr>
              <w:t>standard internal evidence; included</w:t>
            </w:r>
          </w:p>
        </w:tc>
      </w:tr>
      <w:tr>
        <w:trPr>
          <w:cantSplit/>
        </w:trPr>
        <w:tc>
          <w:tcPr>
            <w:tcW w:type="dxa" w:w="2098"/>
            <w:vAlign w:val="center"/>
          </w:tcPr>
          <w:p>
            <w:r>
              <w:rPr>
                <w:sz w:val="16"/>
              </w:rPr>
              <w:t>READ–TP53</w:t>
            </w:r>
          </w:p>
        </w:tc>
        <w:tc>
          <w:tcPr>
            <w:tcW w:type="dxa" w:w="850"/>
            <w:vAlign w:val="center"/>
          </w:tcPr>
          <w:p>
            <w:r>
              <w:rPr>
                <w:sz w:val="16"/>
              </w:rPr>
              <w:t>66/69</w:t>
            </w:r>
          </w:p>
        </w:tc>
        <w:tc>
          <w:tcPr>
            <w:tcW w:type="dxa" w:w="1701"/>
            <w:vAlign w:val="center"/>
          </w:tcPr>
          <w:p>
            <w:r>
              <w:rPr>
                <w:sz w:val="16"/>
              </w:rPr>
              <w:t>0.870 (0.785–0.954)</w:t>
            </w:r>
          </w:p>
        </w:tc>
        <w:tc>
          <w:tcPr>
            <w:tcW w:type="dxa" w:w="1871"/>
            <w:vAlign w:val="center"/>
          </w:tcPr>
          <w:p>
            <w:r>
              <w:rPr>
                <w:sz w:val="16"/>
              </w:rPr>
              <w:t>0.816 (0.726–0.905)</w:t>
            </w:r>
          </w:p>
        </w:tc>
        <w:tc>
          <w:tcPr>
            <w:tcW w:type="dxa" w:w="1871"/>
            <w:vAlign w:val="center"/>
          </w:tcPr>
          <w:p>
            <w:r>
              <w:rPr>
                <w:sz w:val="16"/>
              </w:rPr>
              <w:t>0.906 (0.838–0.964)</w:t>
            </w:r>
          </w:p>
        </w:tc>
        <w:tc>
          <w:tcPr>
            <w:tcW w:type="dxa" w:w="1984"/>
            <w:vAlign w:val="center"/>
          </w:tcPr>
          <w:p>
            <w:r>
              <w:rPr>
                <w:sz w:val="16"/>
              </w:rPr>
              <w:t>standard internal evidence; included</w:t>
            </w:r>
          </w:p>
        </w:tc>
      </w:tr>
      <w:tr>
        <w:trPr>
          <w:cantSplit/>
        </w:trPr>
        <w:tc>
          <w:tcPr>
            <w:tcW w:type="dxa" w:w="2098"/>
            <w:vAlign w:val="center"/>
          </w:tcPr>
          <w:p>
            <w:r>
              <w:rPr>
                <w:sz w:val="16"/>
              </w:rPr>
              <w:t>THCA–BRAF</w:t>
            </w:r>
          </w:p>
        </w:tc>
        <w:tc>
          <w:tcPr>
            <w:tcW w:type="dxa" w:w="850"/>
            <w:vAlign w:val="center"/>
          </w:tcPr>
          <w:p>
            <w:r>
              <w:rPr>
                <w:sz w:val="16"/>
              </w:rPr>
              <w:t>289/201</w:t>
            </w:r>
          </w:p>
        </w:tc>
        <w:tc>
          <w:tcPr>
            <w:tcW w:type="dxa" w:w="1701"/>
            <w:vAlign w:val="center"/>
          </w:tcPr>
          <w:p>
            <w:r>
              <w:rPr>
                <w:sz w:val="16"/>
              </w:rPr>
              <w:t>0.899 (0.859–0.936)</w:t>
            </w:r>
          </w:p>
        </w:tc>
        <w:tc>
          <w:tcPr>
            <w:tcW w:type="dxa" w:w="1871"/>
            <w:vAlign w:val="center"/>
          </w:tcPr>
          <w:p>
            <w:r>
              <w:rPr>
                <w:sz w:val="16"/>
              </w:rPr>
              <w:t>0.840 (0.800–0.877)</w:t>
            </w:r>
          </w:p>
        </w:tc>
        <w:tc>
          <w:tcPr>
            <w:tcW w:type="dxa" w:w="1871"/>
            <w:vAlign w:val="center"/>
          </w:tcPr>
          <w:p>
            <w:r>
              <w:rPr>
                <w:sz w:val="16"/>
              </w:rPr>
              <w:t>0.876 (0.826–0.920)</w:t>
            </w:r>
          </w:p>
        </w:tc>
        <w:tc>
          <w:tcPr>
            <w:tcW w:type="dxa" w:w="1984"/>
            <w:vAlign w:val="center"/>
          </w:tcPr>
          <w:p>
            <w:r>
              <w:rPr>
                <w:sz w:val="16"/>
              </w:rPr>
              <w:t>standard internal evidence; included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AUROC difference was 0.004 (IQR -0.001 to 0.010); ridge had a selection-conditioned paired patient-resampling interval above zero for 2 models, PLS for 0, and 10 AUROC differences were uncertain. With the same inner-CV balanced-accuracy threshold rule applied to both methods, the median ridge-minus-PLS balanced-accuracy difference was 0.005 (IQR 0.001 to 0.012); ridge had a selection-conditioned paired patient-resampling interval above zero for 0 models, PLS for 0, and 12 were uncertain. For the 12 continuous models, the median ridge-minus-PLS Q² difference was 0.014 (IQR 0.007 to 0.017); ridge was favoured for 5, PLS for 0, and 7 were uncertain. The symmetric binary results do not support a general advantage for either algorithm: the AUROC interval excluded zero in favour of ridge for THYM–GTF2I and COAD–TP53, while no symmetrically thresholded balanced-accuracy interval excluded zero. For continuous Q², ridge-favouring intervals were observed for THYM–Th17 Cells, BRCA–Wound Healing, BRCA–Proliferation, THCA–Th1 Cells, SARC–Macrophage Regulation. These are conditional comparisons of highlighted endpoints, not multiplicity-controlled algorithm discoveries. Because the benchmark was restricted to PLS-highlighted results, the prespecified atlas was retained and the comparison is reported as selection-conditioned sensitivity evidence rather than a basis for post-screen method switching.</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demonstration and COAD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The binary display labels its TCGA out-of-fold score rank explicitly as a rank rather than a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w:t>
      </w:r>
    </w:p>
    <w:p>
      <w:r>
        <w:t>COAD was chosen for a research-software demonstration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 research-software demonstration of internally derived TCGA estimates,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research-software demonstration in two clinically comparable COAD cases. Panels A and B show all ten internally derived TCGA continuous estimates for TCGA-AA-A01F and TCGA-AA-3972, respectively. Silent mutation rate and SNV neoantigens flank nonsilent mutation rate in the semantic axis order. Every radar corner reports the exact percentile relative to corrected repeated out-of-fold TCGA predictions and the original model estimate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research-software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immune measurements, oncogenic pathways, MSI, aneuploidy and fusion endpoints extend the analysis beyond the exact cancer–gene mutation pairs used for the literature crosswalk. They are systematically benchmarked here with the same TITAN–PLS design, but the manuscript does not claim that histological prediction of those broad endpoint classes is unprecedented. Their contribution is the unified patient-level, cancer-specific evaluation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The corrected binary comparison removed the previous decision-rule asymmetry: both methods used identical outer and inner folds and selected operating thresholds from inner out-of-fold scores using the same balanced-accuracy criterion. Threshold-independent AUROC was primary for this method comparison. The median ridge-minus-PLS AUROC difference was 0.004, with 2 endpoints favouring ridge and 10 uncertain; the median balanced-accuracy difference under symmetric thresholding was 0.005, with 0 favouring ridge, 0 favouring PLS and 12 uncertain. The continuous median Q² difference was 0.014; 5 intervals excluded zero in favour of ridge. These paired patient-resampling intervals condition on the PLS screen and five existing matched prediction sets; they do not repeat endpoint selection, generate new partitions or refit models within bootstrap samples. Both approaches yield compact exportable parameters, so portability is not unique to PLS. PLS remains the prespecified atlas method because the benchmark was performed only on PLS-highlighted models and switching methods after that selection would add another optimistic selection layer. Future external validation can compare locked PLS and ridge candidates prospectively.</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matched COAD cases demonstrate software output for internally derived TCGA estimates. Because both examples were chosen within TCGA and were evaluated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selected immune, mutation, pathway,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S1–S3 and an inventory of the companion machine-readable result files.</w:t>
      </w:r>
    </w:p>
    <w:p>
      <w:r>
        <w:t>Additional file 2 (.pdf): COAD example A (TCGA-AA-A01F) TITANPred research-software output. Illustrative internally derived full-cohort TCGA estimates for the COAD example with high MSI, mutation-rate and immune-feature predictions and low aneuploidy prediction.</w:t>
      </w:r>
    </w:p>
    <w:p>
      <w:r>
        <w:t>Additional file 3 (.pdf): COAD example B (TCGA-AA-3972) TITANPred research-software output. Illustrative internally derived full-cohort TCGA estimates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