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patient-level TCGA discovery atlas of molecular and immune predictability from pretrained TITAN whole-slide representations across 32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Deep-learning studies have shown that haematoxylin-and-eosin images encode mutations, microsatellite instability, transcriptomic programmes and tumour-microenvironment phenotypes. We evaluated which individual molecular, genomic-instability and immune endpoints are predictable within cancer type from reusable TITAN whole-slide representations.</w:t>
      </w:r>
    </w:p>
    <w:p>
      <w:r>
        <w:rPr>
          <w:b/>
        </w:rPr>
        <w:t xml:space="preserve">Methods. </w:t>
      </w:r>
      <w:r>
        <w:t>We mean-pooled 11,449 primary diagnostic slide embeddings into 9,404 patient vectors across 32 TCGA cancers; 843 patients contributed multiple slides. We tested 1,614 continuous and 459 binary cancer–endpoint pairs. PLS1 regression was used for continuous targets; binary targets used PLS latent scores with LDA. Patient-level nested 5×5 cross-validation selected 1–10 components. Effect-eligible models underwent a 999-permutation refinement with conservative sequential stopping, Benjamini–Hochberg control within cancer and endpoint family, and a stricter across-cancer family correction.</w:t>
      </w:r>
    </w:p>
    <w:p>
      <w:r>
        <w:rPr>
          <w:b/>
        </w:rPr>
        <w:t xml:space="preserve">Results. </w:t>
      </w:r>
      <w:r>
        <w:t>Within-cancer screening identified 219 continuous and 104 binary higher- or moderate-effect candidates. Highlighted repeated-CV results included TGCT–TGF-beta Response (Q² 0.670, 95% bootstrap interval 0.573–0.741; RMSE 0.303, Spearman 0.791) and LGG–TP53 (sensitivity 0.839, specificity 0.885, balanced accuracy 0.862, 95% bootstrap interval 0.833–0.888; AUROC 0.908). Under the multiplicity sensitivity, 219 continuous and 39 cancer–mutation pairs passed the stricter across-cancer correction; its attainable q-values in large families were limited by the 0.001 empirical-p resolution. Site grouping reduced 83/323 candidates (25.7%) below the original effect threshold. In a selection-conditioned 24-model benchmark, median ridge-minus-PLS differences were 0.007 balanced accuracy and 0.014 Q², showing no uniform PLS advantage.</w:t>
      </w:r>
    </w:p>
    <w:p>
      <w:r>
        <w:rPr>
          <w:b/>
        </w:rPr>
        <w:t xml:space="preserve">Conclusions. </w:t>
      </w:r>
      <w:r>
        <w:t>Pretrained TITAN representations support a cancer-specific TCGA discovery atlas spanning immune and molecular phenotypes. The models are internally validated research candidates, do not replace molecular assays, and require independent external validation before clinical interpretation.</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However, the published landscape remains fragmented across selected cancers, endpoint classes, representations and reporting conventions. What is missing is a single patient-level, reusable discovery atlas that applies one fixed pretrained whole-slide representation and one transparent validation framework to many individual mutation, immune, pathway, instability, aneuploidy and fusion endpoints while retaining negative results, class counts, uncertainty and deployable fitted models. This study addresses that gap; it does not claim that the individual endpoint classes themselves are unprecedented.</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 latent-variable method suited to correlated high-dimensional predictors [17,18].</w:t>
      </w:r>
    </w:p>
    <w:p>
      <w:r>
        <w:t>A practical feature of the fitted analysis is model portability. A PLS or PLS–LDA predictor can be distributed as preprocessing parameters, latent-variable weights, regression coefficients and LDA parameters. Prediction therefore does not require release of the patient-level training embeddings or outcomes. This supports external research testing while minimising distribution of patient-level data, but does not itself establish privacy, licensing compatibility or transportability.</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immune measurements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and AUROC from continuous LDA scores was secondary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Spearman correlation used observed and held-out continuous predictions.</w:t>
      </w:r>
    </w:p>
    <w:p>
      <w:r>
        <w:t>As a secondary algorithmic benchmark, the 24 manuscript-highlighted models were refitted on the same five repeated outer partitions using ridge-penalised Gaussian regression for continuous endpoints and ridge logistic regression for binary endpoints. Ridge hyperparameters were selected inside each outer training set; binary operating thresholds maximised balanced accuracy using inner out-of-fold probabilities. The primary paired differences were ridge-minus-PLS Q² and balanced accuracy, with AUROC or Spearman correlation retained as secondary metrics. We report the magnitude, interquartile range and 95% paired-repeat interval rather than declaring a winner from counts alone. Because models were selected for this benchmark after the PLS screen, it is a conditional sensitivity analysis and cannot establish atlas-wide algorithmic superiority. Ridge was chosen as a simple linear baseline whose fitted coefficients can be exported without retaining training embeddings; nonlinear kernel predictors that require training observations or landmarks at inference did not satisfy that deployment constraint.</w:t>
      </w:r>
    </w:p>
    <w:p>
      <w:r>
        <w:t>No class under-sampling, over-sampling or synthetic augmentation was used. LDA used the observed training-fold class priors and returned a class plus an uncalibrated discriminant score, not a probability or clinical-risk threshold. Outcome tables were constructed independently of TITAN feature processing and joined only after patient-level aggregation.</w:t>
      </w:r>
    </w:p>
    <w:p>
      <w:r>
        <w:t>Nested performance was first checkpointed for the complete atlas. Only models with Q²≥0.20 or chance-corrected balanced accuracy≥0.20 entered permutation testing. A 99-permutation checkpoint was followed by refinement toward 999 patient-label permutations. During final refinement, evaluation stopped conservatively after 49 exceedances because raw p&lt;0.05 was then impossible even if every remaining null statistic were less extreme; stopped endpoints were assigned p=1. Early-stopped checkpoint jobs resumed from the exact number attempted, so no permutation indices were skipped. Regression extremeness used lower RMSE, whereas classification used higher balanced accuracy. Completed finite p values were (b+1)/(B+1), giving minimum resolution 0.001. Because each disease defines a separate prediction and intended-use population, Benjamini–Hochberg FDR was controlled separately for continuous and binary screens within cancer and prespecified endpoint family [27]; a q-value across cancers within the same outcome type and family was retained as a stricter multiplicity sensitivity.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These categories prioritise discovery candidates and are not clinical grades.</w:t>
      </w:r>
    </w:p>
    <w:p>
      <w:pPr>
        <w:pStyle w:val="Heading2"/>
      </w:pPr>
      <w:r>
        <w:t>Robustness and saved models</w:t>
      </w:r>
    </w:p>
    <w:p>
      <w:r>
        <w:t>Screen-positive models were repeated under five independently seeded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held-out predictions for each sampled patient, recalculated metrics within repeat and then averaged them; percentile 2.5th and 97.5th quantiles formed the 95% intervals. Site-grouped validation assigned all patients sharing a two-character TCGA tissue-source-site code to the same outer fold, preventing a site from appearing in both training and test partitions for that fold.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TITANPred retains the binary LDA score but does not convert it to a probability. In reports, its position is labelled 'TCGA out-of-fold score rank (not probability)' rather than percentile or risk, and is displayed beside total training n, positive and negative counts, prevalence, repeated-CV balanced accuracy and AUROC. Models with fewer than 50 patients in either class receive an explicit limited-class-size warning; this reporting flag does not change the prespecified 20-per-class eligibility rule. Probability calibration was not added post hoc because it would require an independently evaluated or fully nested calibration procedure, which is not available in this TCGA discovery analysis.</w:t>
      </w:r>
    </w:p>
    <w:p>
      <w:r>
        <w:t>The fitted PLS and PLS–LDA objects contain the learned transformations and coefficients needed for inference but no patient-level training rows. The public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released target catalogues, out-of-fold prediction summaries, figures and model registry are organized in the companion analysis repository [30]. A separate GPL-3 R package bundles all fitted models, their SHA-256 registry, reference distributions, inference interface and report template [32]. The bundled artifacts contain learned parameters and training-range summaries but no patient-level training rows. No independent cohort with compatible TITAN features and the required labels was included; all performance estimates remain internal to TCGA.</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S1–S12, Figures S1–S2 and the machine-readable-file inventory are provided in Additional file 1. The two illustrative single-sample TITANPred reports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atlas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Continuous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atlas.</w:t>
      </w:r>
    </w:p>
    <w:p>
      <w:pPr>
        <w:pStyle w:val="Heading2"/>
      </w:pPr>
      <w:r>
        <w:t>Binary molecular phenotypes</w:t>
      </w:r>
    </w:p>
    <w:p>
      <w:r>
        <w:t>The binary atlas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using PLS latent scores and LDA. Point size represents the number of positive patients; colour indicates endpoint family and symbols report across-cancer correction status.</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2. Highlighted repeated nested-cross-validation performance with 95% patient-cluster bootstrap intervals.</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Cancer–endpoint</w:t>
            </w:r>
          </w:p>
        </w:tc>
        <w:tc>
          <w:tcPr>
            <w:tcW w:type="dxa" w:w="1949"/>
          </w:tcPr>
          <w:p>
            <w:r>
              <w:rPr>
                <w:b/>
                <w:sz w:val="17"/>
              </w:rPr>
              <w:t>Type</w:t>
            </w:r>
          </w:p>
        </w:tc>
        <w:tc>
          <w:tcPr>
            <w:tcW w:type="dxa" w:w="1949"/>
          </w:tcPr>
          <w:p>
            <w:r>
              <w:rPr>
                <w:b/>
                <w:sz w:val="17"/>
              </w:rPr>
              <w:t>Q² or Se/Sp (95% CI)</w:t>
            </w:r>
          </w:p>
        </w:tc>
        <w:tc>
          <w:tcPr>
            <w:tcW w:type="dxa" w:w="1949"/>
          </w:tcPr>
          <w:p>
            <w:r>
              <w:rPr>
                <w:b/>
                <w:sz w:val="17"/>
              </w:rPr>
              <w:t>RMSE or BA (95% CI)</w:t>
            </w:r>
          </w:p>
        </w:tc>
        <w:tc>
          <w:tcPr>
            <w:tcW w:type="dxa" w:w="1949"/>
          </w:tcPr>
          <w:p>
            <w:r>
              <w:rPr>
                <w:b/>
                <w:sz w:val="17"/>
              </w:rPr>
              <w:t>Spearman or AUROC (95% CI)</w:t>
            </w:r>
          </w:p>
        </w:tc>
      </w:tr>
      <w:tr>
        <w:trPr>
          <w:cantSplit/>
        </w:trPr>
        <w:tc>
          <w:tcPr>
            <w:tcW w:type="dxa" w:w="1949"/>
            <w:vAlign w:val="center"/>
          </w:tcPr>
          <w:p>
            <w:r>
              <w:rPr>
                <w:sz w:val="16"/>
              </w:rPr>
              <w:t>TGCT–TGF-beta Response</w:t>
            </w:r>
          </w:p>
        </w:tc>
        <w:tc>
          <w:tcPr>
            <w:tcW w:type="dxa" w:w="1949"/>
            <w:vAlign w:val="center"/>
          </w:tcPr>
          <w:p>
            <w:r>
              <w:rPr>
                <w:sz w:val="16"/>
              </w:rPr>
              <w:t>continuous</w:t>
            </w:r>
          </w:p>
        </w:tc>
        <w:tc>
          <w:tcPr>
            <w:tcW w:type="dxa" w:w="1949"/>
            <w:vAlign w:val="center"/>
          </w:tcPr>
          <w:p>
            <w:r>
              <w:rPr>
                <w:sz w:val="16"/>
              </w:rPr>
              <w:t>0.670 (0.573–0.741)</w:t>
            </w:r>
          </w:p>
        </w:tc>
        <w:tc>
          <w:tcPr>
            <w:tcW w:type="dxa" w:w="1949"/>
            <w:vAlign w:val="center"/>
          </w:tcPr>
          <w:p>
            <w:r>
              <w:rPr>
                <w:sz w:val="16"/>
              </w:rPr>
              <w:t>0.303 (0.269–0.337)</w:t>
            </w:r>
          </w:p>
        </w:tc>
        <w:tc>
          <w:tcPr>
            <w:tcW w:type="dxa" w:w="1949"/>
            <w:vAlign w:val="center"/>
          </w:tcPr>
          <w:p>
            <w:r>
              <w:rPr>
                <w:sz w:val="16"/>
              </w:rPr>
              <w:t>0.791 (0.713–0.842)</w:t>
            </w:r>
          </w:p>
        </w:tc>
      </w:tr>
      <w:tr>
        <w:trPr>
          <w:cantSplit/>
        </w:trPr>
        <w:tc>
          <w:tcPr>
            <w:tcW w:type="dxa" w:w="1949"/>
            <w:vAlign w:val="center"/>
          </w:tcPr>
          <w:p>
            <w:r>
              <w:rPr>
                <w:sz w:val="16"/>
              </w:rPr>
              <w:t>THYM–Th17 Cells</w:t>
            </w:r>
          </w:p>
        </w:tc>
        <w:tc>
          <w:tcPr>
            <w:tcW w:type="dxa" w:w="1949"/>
            <w:vAlign w:val="center"/>
          </w:tcPr>
          <w:p>
            <w:r>
              <w:rPr>
                <w:sz w:val="16"/>
              </w:rPr>
              <w:t>continuous</w:t>
            </w:r>
          </w:p>
        </w:tc>
        <w:tc>
          <w:tcPr>
            <w:tcW w:type="dxa" w:w="1949"/>
            <w:vAlign w:val="center"/>
          </w:tcPr>
          <w:p>
            <w:r>
              <w:rPr>
                <w:sz w:val="16"/>
              </w:rPr>
              <w:t>0.594 (0.455–0.698)</w:t>
            </w:r>
          </w:p>
        </w:tc>
        <w:tc>
          <w:tcPr>
            <w:tcW w:type="dxa" w:w="1949"/>
            <w:vAlign w:val="center"/>
          </w:tcPr>
          <w:p>
            <w:r>
              <w:rPr>
                <w:sz w:val="16"/>
              </w:rPr>
              <w:t>1743.443 (1514.535–1979.481)</w:t>
            </w:r>
          </w:p>
        </w:tc>
        <w:tc>
          <w:tcPr>
            <w:tcW w:type="dxa" w:w="1949"/>
            <w:vAlign w:val="center"/>
          </w:tcPr>
          <w:p>
            <w:r>
              <w:rPr>
                <w:sz w:val="16"/>
              </w:rPr>
              <w:t>0.738 (0.636–0.811)</w:t>
            </w:r>
          </w:p>
        </w:tc>
      </w:tr>
      <w:tr>
        <w:trPr>
          <w:cantSplit/>
        </w:trPr>
        <w:tc>
          <w:tcPr>
            <w:tcW w:type="dxa" w:w="1949"/>
            <w:vAlign w:val="center"/>
          </w:tcPr>
          <w:p>
            <w:r>
              <w:rPr>
                <w:sz w:val="16"/>
              </w:rPr>
              <w:t>THCA–Lymphocyte Infiltration Signature Score</w:t>
            </w:r>
          </w:p>
        </w:tc>
        <w:tc>
          <w:tcPr>
            <w:tcW w:type="dxa" w:w="1949"/>
            <w:vAlign w:val="center"/>
          </w:tcPr>
          <w:p>
            <w:r>
              <w:rPr>
                <w:sz w:val="16"/>
              </w:rPr>
              <w:t>continuous</w:t>
            </w:r>
          </w:p>
        </w:tc>
        <w:tc>
          <w:tcPr>
            <w:tcW w:type="dxa" w:w="1949"/>
            <w:vAlign w:val="center"/>
          </w:tcPr>
          <w:p>
            <w:r>
              <w:rPr>
                <w:sz w:val="16"/>
              </w:rPr>
              <w:t>0.577 (0.511–0.636)</w:t>
            </w:r>
          </w:p>
        </w:tc>
        <w:tc>
          <w:tcPr>
            <w:tcW w:type="dxa" w:w="1949"/>
            <w:vAlign w:val="center"/>
          </w:tcPr>
          <w:p>
            <w:r>
              <w:rPr>
                <w:sz w:val="16"/>
              </w:rPr>
              <w:t>0.781 (0.722–0.844)</w:t>
            </w:r>
          </w:p>
        </w:tc>
        <w:tc>
          <w:tcPr>
            <w:tcW w:type="dxa" w:w="1949"/>
            <w:vAlign w:val="center"/>
          </w:tcPr>
          <w:p>
            <w:r>
              <w:rPr>
                <w:sz w:val="16"/>
              </w:rPr>
              <w:t>0.742 (0.693–0.786)</w:t>
            </w:r>
          </w:p>
        </w:tc>
      </w:tr>
      <w:tr>
        <w:trPr>
          <w:cantSplit/>
        </w:trPr>
        <w:tc>
          <w:tcPr>
            <w:tcW w:type="dxa" w:w="1949"/>
            <w:vAlign w:val="center"/>
          </w:tcPr>
          <w:p>
            <w:r>
              <w:rPr>
                <w:sz w:val="16"/>
              </w:rPr>
              <w:t>BRCA–Wound Healing</w:t>
            </w:r>
          </w:p>
        </w:tc>
        <w:tc>
          <w:tcPr>
            <w:tcW w:type="dxa" w:w="1949"/>
            <w:vAlign w:val="center"/>
          </w:tcPr>
          <w:p>
            <w:r>
              <w:rPr>
                <w:sz w:val="16"/>
              </w:rPr>
              <w:t>continuous</w:t>
            </w:r>
          </w:p>
        </w:tc>
        <w:tc>
          <w:tcPr>
            <w:tcW w:type="dxa" w:w="1949"/>
            <w:vAlign w:val="center"/>
          </w:tcPr>
          <w:p>
            <w:r>
              <w:rPr>
                <w:sz w:val="16"/>
              </w:rPr>
              <w:t>0.528 (0.483–0.569)</w:t>
            </w:r>
          </w:p>
        </w:tc>
        <w:tc>
          <w:tcPr>
            <w:tcW w:type="dxa" w:w="1949"/>
            <w:vAlign w:val="center"/>
          </w:tcPr>
          <w:p>
            <w:r>
              <w:rPr>
                <w:sz w:val="16"/>
              </w:rPr>
              <w:t>0.111 (0.106–0.116)</w:t>
            </w:r>
          </w:p>
        </w:tc>
        <w:tc>
          <w:tcPr>
            <w:tcW w:type="dxa" w:w="1949"/>
            <w:vAlign w:val="center"/>
          </w:tcPr>
          <w:p>
            <w:r>
              <w:rPr>
                <w:sz w:val="16"/>
              </w:rPr>
              <w:t>0.724 (0.694–0.753)</w:t>
            </w:r>
          </w:p>
        </w:tc>
      </w:tr>
      <w:tr>
        <w:trPr>
          <w:cantSplit/>
        </w:trPr>
        <w:tc>
          <w:tcPr>
            <w:tcW w:type="dxa" w:w="1949"/>
            <w:vAlign w:val="center"/>
          </w:tcPr>
          <w:p>
            <w:r>
              <w:rPr>
                <w:sz w:val="16"/>
              </w:rPr>
              <w:t>LGG–TP53</w:t>
            </w:r>
          </w:p>
        </w:tc>
        <w:tc>
          <w:tcPr>
            <w:tcW w:type="dxa" w:w="1949"/>
            <w:vAlign w:val="center"/>
          </w:tcPr>
          <w:p>
            <w:r>
              <w:rPr>
                <w:sz w:val="16"/>
              </w:rPr>
              <w:t>binary</w:t>
            </w:r>
          </w:p>
        </w:tc>
        <w:tc>
          <w:tcPr>
            <w:tcW w:type="dxa" w:w="1949"/>
            <w:vAlign w:val="center"/>
          </w:tcPr>
          <w:p>
            <w:r>
              <w:rPr>
                <w:sz w:val="16"/>
              </w:rPr>
              <w:t>Se 0.839 (0.795–0.877); Sp 0.885 (0.848–0.920)</w:t>
            </w:r>
          </w:p>
        </w:tc>
        <w:tc>
          <w:tcPr>
            <w:tcW w:type="dxa" w:w="1949"/>
            <w:vAlign w:val="center"/>
          </w:tcPr>
          <w:p>
            <w:r>
              <w:rPr>
                <w:sz w:val="16"/>
              </w:rPr>
              <w:t>BA 0.862 (0.833–0.888)</w:t>
            </w:r>
          </w:p>
        </w:tc>
        <w:tc>
          <w:tcPr>
            <w:tcW w:type="dxa" w:w="1949"/>
            <w:vAlign w:val="center"/>
          </w:tcPr>
          <w:p>
            <w:r>
              <w:rPr>
                <w:sz w:val="16"/>
              </w:rPr>
              <w:t>AUROC 0.908 (0.880–0.932)</w:t>
            </w:r>
          </w:p>
        </w:tc>
      </w:tr>
      <w:tr>
        <w:trPr>
          <w:cantSplit/>
        </w:trPr>
        <w:tc>
          <w:tcPr>
            <w:tcW w:type="dxa" w:w="1949"/>
            <w:vAlign w:val="center"/>
          </w:tcPr>
          <w:p>
            <w:r>
              <w:rPr>
                <w:sz w:val="16"/>
              </w:rPr>
              <w:t>THYM–GTF2I</w:t>
            </w:r>
          </w:p>
        </w:tc>
        <w:tc>
          <w:tcPr>
            <w:tcW w:type="dxa" w:w="1949"/>
            <w:vAlign w:val="center"/>
          </w:tcPr>
          <w:p>
            <w:r>
              <w:rPr>
                <w:sz w:val="16"/>
              </w:rPr>
              <w:t>binary</w:t>
            </w:r>
          </w:p>
        </w:tc>
        <w:tc>
          <w:tcPr>
            <w:tcW w:type="dxa" w:w="1949"/>
            <w:vAlign w:val="center"/>
          </w:tcPr>
          <w:p>
            <w:r>
              <w:rPr>
                <w:sz w:val="16"/>
              </w:rPr>
              <w:t>Se 0.878 (0.804–0.940); Sp 0.839 (0.748–0.916)</w:t>
            </w:r>
          </w:p>
        </w:tc>
        <w:tc>
          <w:tcPr>
            <w:tcW w:type="dxa" w:w="1949"/>
            <w:vAlign w:val="center"/>
          </w:tcPr>
          <w:p>
            <w:r>
              <w:rPr>
                <w:sz w:val="16"/>
              </w:rPr>
              <w:t>BA 0.859 (0.803–0.905)</w:t>
            </w:r>
          </w:p>
        </w:tc>
        <w:tc>
          <w:tcPr>
            <w:tcW w:type="dxa" w:w="1949"/>
            <w:vAlign w:val="center"/>
          </w:tcPr>
          <w:p>
            <w:r>
              <w:rPr>
                <w:sz w:val="16"/>
              </w:rPr>
              <w:t>AUROC 0.907 (0.852–0.955)</w:t>
            </w:r>
          </w:p>
        </w:tc>
      </w:tr>
      <w:tr>
        <w:trPr>
          <w:cantSplit/>
        </w:trPr>
        <w:tc>
          <w:tcPr>
            <w:tcW w:type="dxa" w:w="1949"/>
            <w:vAlign w:val="center"/>
          </w:tcPr>
          <w:p>
            <w:r>
              <w:rPr>
                <w:sz w:val="16"/>
              </w:rPr>
              <w:t>READ–TP53</w:t>
            </w:r>
          </w:p>
        </w:tc>
        <w:tc>
          <w:tcPr>
            <w:tcW w:type="dxa" w:w="1949"/>
            <w:vAlign w:val="center"/>
          </w:tcPr>
          <w:p>
            <w:r>
              <w:rPr>
                <w:sz w:val="16"/>
              </w:rPr>
              <w:t>binary</w:t>
            </w:r>
          </w:p>
        </w:tc>
        <w:tc>
          <w:tcPr>
            <w:tcW w:type="dxa" w:w="1949"/>
            <w:vAlign w:val="center"/>
          </w:tcPr>
          <w:p>
            <w:r>
              <w:rPr>
                <w:sz w:val="16"/>
              </w:rPr>
              <w:t>Se 0.912 (0.855–0.966); Sp 0.803 (0.704–0.890)</w:t>
            </w:r>
          </w:p>
        </w:tc>
        <w:tc>
          <w:tcPr>
            <w:tcW w:type="dxa" w:w="1949"/>
            <w:vAlign w:val="center"/>
          </w:tcPr>
          <w:p>
            <w:r>
              <w:rPr>
                <w:sz w:val="16"/>
              </w:rPr>
              <w:t>BA 0.858 (0.801–0.910)</w:t>
            </w:r>
          </w:p>
        </w:tc>
        <w:tc>
          <w:tcPr>
            <w:tcW w:type="dxa" w:w="1949"/>
            <w:vAlign w:val="center"/>
          </w:tcPr>
          <w:p>
            <w:r>
              <w:rPr>
                <w:sz w:val="16"/>
              </w:rPr>
              <w:t>AUROC 0.912 (0.860–0.956)</w:t>
            </w:r>
          </w:p>
        </w:tc>
      </w:tr>
      <w:tr>
        <w:trPr>
          <w:cantSplit/>
        </w:trPr>
        <w:tc>
          <w:tcPr>
            <w:tcW w:type="dxa" w:w="1949"/>
            <w:vAlign w:val="center"/>
          </w:tcPr>
          <w:p>
            <w:r>
              <w:rPr>
                <w:sz w:val="16"/>
              </w:rPr>
              <w:t>THCA–BRAF</w:t>
            </w:r>
          </w:p>
        </w:tc>
        <w:tc>
          <w:tcPr>
            <w:tcW w:type="dxa" w:w="1949"/>
            <w:vAlign w:val="center"/>
          </w:tcPr>
          <w:p>
            <w:r>
              <w:rPr>
                <w:sz w:val="16"/>
              </w:rPr>
              <w:t>binary</w:t>
            </w:r>
          </w:p>
        </w:tc>
        <w:tc>
          <w:tcPr>
            <w:tcW w:type="dxa" w:w="1949"/>
            <w:vAlign w:val="center"/>
          </w:tcPr>
          <w:p>
            <w:r>
              <w:rPr>
                <w:sz w:val="16"/>
              </w:rPr>
              <w:t>Se 0.926 (0.897–0.952); Sp 0.747 (0.688–0.801)</w:t>
            </w:r>
          </w:p>
        </w:tc>
        <w:tc>
          <w:tcPr>
            <w:tcW w:type="dxa" w:w="1949"/>
            <w:vAlign w:val="center"/>
          </w:tcPr>
          <w:p>
            <w:r>
              <w:rPr>
                <w:sz w:val="16"/>
              </w:rPr>
              <w:t>BA 0.837 (0.805–0.866)</w:t>
            </w:r>
          </w:p>
        </w:tc>
        <w:tc>
          <w:tcPr>
            <w:tcW w:type="dxa" w:w="1949"/>
            <w:vAlign w:val="center"/>
          </w:tcPr>
          <w:p>
            <w:r>
              <w:rPr>
                <w:sz w:val="16"/>
              </w:rPr>
              <w:t>AUROC 0.894 (0.862–0.924)</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Exportable linear baseline comparison</w:t>
      </w:r>
    </w:p>
    <w:p>
      <w:r>
        <w:t>Among the 12 highlighted binary models, the median ridge-minus-PLS balanced-accuracy difference was 0.007 (IQR -0.004 to 0.014); ridge had a paired-repeat interval above zero for 2 models, PLS for 1, and 9 differences were uncertain. For the 12 continuous models, the median ridge-minus-PLS Q² difference was 0.014 (IQR 0.007 to 0.017); ridge was favoured for 7, PLS for 2, and 3 were uncertain. Thus PLS was competitive but not uniformly superior to a simpler exportable linear model. Because the benchmark was restricted to PLS-highlighted results, the prespecified PLS atlas was retained and the comparison is reported as selection-conditioned sensitivity evidence rather than a basis for post-screen method switching.</w:t>
      </w:r>
    </w:p>
    <w:p>
      <w:pPr>
        <w:pStyle w:val="Heading2"/>
      </w:pPr>
      <w:r>
        <w:t>Site and multiple-slide sensitivity</w:t>
      </w:r>
    </w:p>
    <w:p>
      <w:r>
        <w:t>Site-grouped validation was feasible for 323 screen-positive models. Although the median grouped-minus-random performance change was only -0.026, 83/323 models (25.7%) fell below the original effect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patients, so the decline cannot be attributed solely to site artefact; nevertheless, the near-chance colorectal APC results are not adequately summarised by the median and are treated as site-sensitive. The first-slide-minus-mean-pool median change across screen-positive models was -0.001.</w:t>
      </w:r>
    </w:p>
    <w:p>
      <w:pPr>
        <w:jc w:val="center"/>
      </w:pPr>
      <w:r>
        <w:drawing>
          <wp:inline xmlns:a="http://schemas.openxmlformats.org/drawingml/2006/main" xmlns:pic="http://schemas.openxmlformats.org/drawingml/2006/picture">
            <wp:extent cx="5806440" cy="318237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3182376"/>
                    </a:xfrm>
                    <a:prstGeom prst="rect"/>
                  </pic:spPr>
                </pic:pic>
              </a:graphicData>
            </a:graphic>
          </wp:inline>
        </w:drawing>
      </w:r>
    </w:p>
    <w:p>
      <w:pPr>
        <w:pStyle w:val="Caption"/>
        <w:jc w:val="center"/>
      </w:pPr>
      <w:r>
        <w:t>Figure 6. Random-fold versus tissue-source-site-grouped internal validation. Values below the diagonal indicate attenuation when submitting tissue-source sites are separated.</w:t>
      </w:r>
    </w:p>
    <w:p>
      <w:pPr>
        <w:pStyle w:val="Heading2"/>
      </w:pPr>
      <w:r>
        <w:t>Reusable multi-endpoint inference and COAD illustration</w:t>
      </w:r>
    </w:p>
    <w:p>
      <w:r>
        <w:t>The TITANPred R package exposes 323 fitted models (219 continuous and 104 binary) across 27 cancers [32]. Users supply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The binary display labels its TCGA out-of-fold score rank explicitly as a rank rather than a probability and places training positive/negative counts, prevalence, repeated-CV performance and any limited-class-size warning beside the call. A single-sample report renders all available continuous endpoints as a radar, with the exact reference percentile and original prediction printed at every corner, and displays binary calls with provenance and out-of-distribution diagnostics. The report ends with definitions of every displayed endpoint and citations for the data source used to construct each TCGA model target.</w:t>
      </w:r>
    </w:p>
    <w:p>
      <w:r>
        <w:t>COAD was chosen as a deployment illustration because colorectal cancer, of which colon adenocarcinoma is a major component, accounted for 1,926,425 new cases worldwide in 2022 [31], and COAD contributed 20 supported models (10 continuous and 10 binary). APC, TP53, KRAS and BRAF prediction from colorectal histology had already been evaluated in pooled colorectal and/or exact-COAD studies; these models are therefore replications or extensions under a different representation and validation framework, not bibliographically novel mutation targets. For visualization, we first restricted candidates to cases with a non-empty slide report that described a sigmoid-colon, moderately differentiated, pT3 adenocarcinoma with clear margins, and then required that no case had more than two of ten continuous predictions outside the first to 99th percentile. Among pairs sharing recorded sex and site, TCGA-AA-A01F and TCGA-AA-3972 had the largest Euclidean separation across the complete continuous prediction-percentile profile. This produced clinically comparable examples with predominantly intermediate rather than saturated values. Example A had higher MSI, mutation-rate and TIL predictions and lower aneuploidy predictions, whereas example B showed the converse pattern (Figure 7). The selection is an internal deployment demonstration, not a validation analysis or an estimate of clinical prevalence.</w:t>
      </w:r>
    </w:p>
    <w:p>
      <w:r>
        <w:t>The accompanying pathology text is paraphrased from TCGA-Slide-Reports.csv rather than reproduced verbatim. For TCGA-AA-A01F, the report describes an ulcerated grade-2 sigmoid adenocarcinoma extending through the muscular wall into pericolic fat (pT3), with uninvolved resection ends, lymphatic invasion and two involved nodes among 30 examined (pN1). For TCGA-AA-3972, it describes an ulcerated grade-2 sigmoid colorectal adenocarcinoma extending through the bowel wall into mesocolic fat (pT3), with uninvolved proximal and distal margins; a nodal category was not stated in the supplied slide summary.</w:t>
      </w:r>
    </w:p>
    <w:p>
      <w:r>
        <w:t>Public NCI Genomic Data Commons case records provide treatment context [33]. TCGA-AA-A01F received fluorouracil, leucovorin and oxaliplatin, for which the recorded treatment outcome was complete response. TCGA-AA-3972 received capecitabine plus oxaliplatin and, later, fluorouracil, leucovorin, oxaliplatin and bevacizumab; progressive disease was recorded for both treatment records, with recurrence documented later in follow-up. These fields are descriptive public metadata and were not predictors, training targets or validation outcomes. The examples therefore do not evaluate response prediction or treatment effect.</w:t>
      </w:r>
    </w:p>
    <w:p>
      <w:pPr>
        <w:jc w:val="center"/>
      </w:pPr>
      <w:r>
        <w:drawing>
          <wp:inline xmlns:a="http://schemas.openxmlformats.org/drawingml/2006/main" xmlns:pic="http://schemas.openxmlformats.org/drawingml/2006/picture">
            <wp:extent cx="6126480" cy="5198225"/>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198225"/>
                    </a:xfrm>
                    <a:prstGeom prst="rect"/>
                  </pic:spPr>
                </pic:pic>
              </a:graphicData>
            </a:graphic>
          </wp:inline>
        </w:drawing>
      </w:r>
    </w:p>
    <w:p>
      <w:pPr>
        <w:pStyle w:val="Caption"/>
        <w:jc w:val="center"/>
      </w:pPr>
      <w:r>
        <w:t>Figure 7. TITANPred deployment illustration in two clinically comparable COAD cases. Panels A and B show all ten continuous predictions for TCGA-AA-A01F and TCGA-AA-3972, respectively. Silent mutation rate and SNV neoantigens flank nonsilent mutation rate in the semantic axis order. Every radar corner reports the exact percentile relative to corrected repeated out-of-fold TCGA predictions and the original model prediction in the analysed endpoint units; the percentiles are not clinical reference ranges. Panel C shows binary PLS-LDA calls and explicitly labelled TCGA out-of-fold LDA-score ranks; filled points denote positive calls, and ranks are not probabilities. Training n and class counts accompany each binary endpoint. The cases share sex, sigmoid site, grade, pT3 category and clear margins and were selected after limiting saturated continuous profiles. They are full-cohort deployment examples and do not provide external validation.</w:t>
      </w:r>
    </w:p>
    <w:p>
      <w:pPr>
        <w:pStyle w:val="Heading1"/>
      </w:pPr>
      <w:r>
        <w:t>Discussion</w:t>
      </w:r>
    </w:p>
    <w:p>
      <w:r>
        <w:t>This study answers a target-by-target, cancer-specific question rather than asking whether molecular subtype and mutation status are associated. Fixed pretrained TITAN representations contain useful signal for selected immune programmes, mutations and higher-level genomic phenotypes, but most eligible pairs do not satisfy both multiplicity and effect thresholds. That heterogeneity—and transparent negative reporting—is the primary result. Under the stricter across-cancer family correction, 219 continuous and 39 mutation pairs passed; the remaining within-cancer candidates should not be interpreted as pan-cancer biomarkers. Conversely, global non-passage cannot be interpreted as evidence of no signal because the 0.001 empirical-p resolution restricts attainable q-values in large families.</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deployment.</w:t>
      </w:r>
    </w:p>
    <w:p>
      <w:r>
        <w:t>The immune measurements, oncogenic pathways, MSI, aneuploidy and fusion endpoints extend the analysis beyond the exact cancer–gene mutation pairs used for the literature crosswalk. They are newly screened in this TITAN–PLS atlas, but the manuscript does not claim that histological prediction of those broad endpoint classes is unprecedented. Their novelty is the unified patient-level, cancer-specific screen and directly reusable linear modelling framework.</w:t>
      </w:r>
    </w:p>
    <w:p>
      <w:r>
        <w:t>For continuous outcomes, prior work predicted RNA expression [6], tumour composition [4], continuous HRD and microenvironment measures [12], and externally evaluated tumour-microenvironment composition in non-small cell lung cancer [15]. The present study instead screens the prespecified Thorsson immune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of TITAN plus PLS is a uniform, auditable screen over many prespecified outcomes using one fixed pretrained representation, with one-at-a-time PLS–LDA retained for the prespecified individual binary endpoints and PLS2 examined secondarily for correlated inflammatory panels.</w:t>
      </w:r>
    </w:p>
    <w:p>
      <w:r>
        <w:t>The ridge benchmark prevents interpreting that design choice as proof of PLS superiority. Median ridge-minus-PLS differences were small (0.007 balanced accuracy for binary and 0.014 Q² for continuous models), although paired intervals favoured ridge for two binary and seven continuous highlighted endpoints and favoured PLS for one binary and two continuous endpoints. The remaining 12 comparisons were uncertain. Both approaches yield compact exportable parameters, so portability is not unique to PLS. PLS remains the prespecified atlas method because the benchmark was performed only on PLS-highlighted models and switching methods after that selection would add another optimistic selection layer. Future external validation can compare locked PLS and ridge candidates prospectively.</w:t>
      </w:r>
    </w:p>
    <w:p>
      <w:r>
        <w:t>Site grouping revealed heterogeneity that the median attenuation concealed: 83/323 screen-positive models (25.7%) fell below their original effect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This reinforces the need for multi-institutional external validation and for publishing target-level, not only median, sensitivity results.</w:t>
      </w:r>
    </w:p>
    <w:p>
      <w:r>
        <w:t>A further practical feature is data-minimising model portability. Preprocessing values, latent weights and coefficients are sufficient for continuous prediction, with compact LDA parameters added for binary classification. TITANPred publicly distributes these fitted objects and applies every cancer-matched model to correctly ordered TITAN features without distributing the original patient embeddings or outcomes [32]. This reduces the patient-level data that must be exchanged, although it does not itself confer privacy, satisfy local governance requirements or establish transportability. The matched COAD examples show how the package summarizes differing multi-endpoint profiles among cases with shared clinicopathological attributes. Because both examples were chosen within TCGA and were predicted by full-cohort fits, neither their molecular contrast nor their recorded treatment outcomes constitute new accuracy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 even with site separation, cannot establish transportability to another institution, scanner, stain distribution or patient population.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predictions cannot justify omitting a molecular assay. External feature extraction and prospective evaluation are required before clinical use.</w:t>
      </w:r>
    </w:p>
    <w:p>
      <w:r>
        <w:t>The repeated nested-CV estimates and patient-cluster bootstrap intervals are also conditional on selecting endpoints in this same TCGA atlas. They quantify partition and sampling variability for highlighted candidates but do not correct winner's-curse optimism from highlighting the strongest screen results. Consequently, the intervals should not be read as external-performance intervals; locked-model evaluation in an untouched cohort is required for unbiased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Mean-pooled TITAN representations enable a cancer-specific TCGA discovery atlas of selected immune, mutation, pathway, MSI, aneuploidy and fusion phenotypes. The public TITANPred package applies all cancer-matched fitted PLS and PLS–LDA models without distributing patient-level training data, providing a practical route to independent external research validation. The resource prioritises hypotheses and exposes screen-negative targets, but remains internally validated and non-clinical.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All 323 fitted research models, their registry, inference code and HTML/PDF report template are distributed in the separate TITANPred repository [32].</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S1–S12, Figures S1–S2 and an inventory of the companion machine-readable result files.</w:t>
      </w:r>
    </w:p>
    <w:p>
      <w:r>
        <w:t>Additional file 2 (.pdf): COAD example A (TCGA-AA-A01F) TITANPred single-sample report. Illustrative full-cohort research-model predictions for the COAD example with high MSI, mutation-rate and immune-feature predictions and low aneuploidy prediction.</w:t>
      </w:r>
    </w:p>
    <w:p>
      <w:r>
        <w:t>Additional file 3 (.pdf): COAD example B (TCGA-AA-3972) TITANPred single-sample report. Illustrative full-cohort research-model predictions for the contrasting COAD example with high aneuploidy prediction and lower MSI and immune-feature predictions.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prediction atlas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TCGA TITAN molecular and immune discovery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