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and site-grouped stability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cohort/site/scanner/population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locked-target implementation table has also moved to Supplementary Table S6c, leaving one compact main-text table.</w:t>
      </w:r>
    </w:p>
    <w:p>
      <w:pPr>
        <w:pStyle w:val="Heading3"/>
        <w:keepNext/>
      </w:pPr>
      <w:r>
        <w:t>Implementation detail</w:t>
      </w:r>
    </w:p>
    <w:p>
      <w:pPr>
        <w:spacing w:after="120" w:line="264" w:lineRule="auto"/>
      </w:pPr>
      <w:r>
        <w:rPr>
          <w:rFonts w:ascii="Calibri" w:hAnsi="Calibri"/>
          <w:b w:val="0"/>
          <w:i w:val="0"/>
          <w:color w:val="000000"/>
          <w:sz w:val="22"/>
        </w:rPr>
        <w:t>Detailed report construction, score-rank definitions, checksums, model inventory, input validation and package behaviour have been moved out of the main Results to the Supplement and software documentation. The main Results retain only a concise description needed to interpret the illustrative COAD output.</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Figure readability</w:t>
      </w:r>
    </w:p>
    <w:p>
      <w:pPr>
        <w:spacing w:after="120" w:line="264" w:lineRule="auto"/>
      </w:pPr>
      <w:r>
        <w:rPr>
          <w:rFonts w:ascii="Calibri" w:hAnsi="Calibri"/>
          <w:b w:val="0"/>
          <w:i w:val="0"/>
          <w:color w:val="000000"/>
          <w:sz w:val="22"/>
        </w:rPr>
        <w:t>Figures 2, 3, 5 and 6 now use larger typography and restrict ranked displays while directing readers to complete supplementary tables. Figure 7 replaces the two radar plots with a shared-axis dumbbell comparison, retains original predicted values in a separate column and simplifies the binary panel. The redesign materially improves normal-size comparison without dropping the two illustrative COAD cases.</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