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derived immune-feature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Binary class-size, fold-composition and stability analyses</w:t>
      </w:r>
    </w:p>
    <w:p>
      <w:r>
        <w:t>The primary screening estimate is the initial nested-CV value used for candidate selection, permutation testing and tier assignment. The repeated-validation estimate is the mean across five additional independently seeded nested-CV partitions and is reported as a post-selection stability estimate. The values need not be identical because the fold partitions and rSVD seeds differ; THYM–Th17, for example, had primary screening Q²=0.638 and five-repeat mean Q²=0.594. 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is the complete Supplementary Table S13 dictionary and contains one row for every target, including source modality, direct/inferred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Prespecified terms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PLS2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locked multiresponse immune resource, but no external validation or matched multiresponse ridge baseline was available.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Screening tier A</w:t>
            </w:r>
          </w:p>
        </w:tc>
        <w:tc>
          <w:tcPr>
            <w:tcW w:type="dxa" w:w="1392"/>
          </w:tcPr>
          <w:p>
            <w:r>
              <w:rPr>
                <w:b/>
                <w:sz w:val="17"/>
              </w:rPr>
              <w:t>Screening tier B</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The initial nested-CV screening estimate and the mean across five additional independently seeded nested-CV repeats are labelled separately. 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Initial screen BA 0.846; five-repeat 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Initial screen BA 0.883; five-repeat 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Initial screen BA 0.861; five-repeat 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Initial screen BA 0.830; five-repeat 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Initial screen BA 0.862; five-repeat 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Initial screen BA 0.822; five-repeat 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Initial screen BA 0.811; five-repeat 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Initial screen BA 0.793; five-repeat 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Initial screen BA 0.784; five-repeat 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Initial screen BA 0.786; five-repeat 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Initial screen BA 0.792; five-repeat 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Initial screen BA 0.779; five-repeat 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Initial screen Q² 0.670; five-repeat 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Initial screen Q² 0.638; five-repeat 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Initial screen Q² 0.580; five-repeat 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Initial screen Q² 0.527; five-repeat 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Initial screen Q² 0.522; five-repeat 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Initial screen Q² 0.512; five-repeat 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Initial screen Q² 0.510; five-repeat 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Initial screen Q² 0.503; five-repeat 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Initial screen Q² 0.503; five-repeat 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Initial screen Q² 0.500; five-repeat 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Initial screen Q² 0.520; five-repeat 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Initial screen Q² 0.515; five-repeat 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 from the initial nested-CV screen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Primary screen 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prespecified screening tier B</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prespecified screening tier B</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prespecified screening tier B</w:t>
            </w:r>
          </w:p>
        </w:tc>
      </w:tr>
    </w:tbl>
    <w:p/>
    <w:p>
      <w:pPr>
        <w:pStyle w:val="Heading1"/>
      </w:pPr>
      <w:r>
        <w:t>Table S8. Top binary results from the initial nested-CV screen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Primary screen BA</w:t>
            </w:r>
          </w:p>
        </w:tc>
        <w:tc>
          <w:tcPr>
            <w:tcW w:type="dxa" w:w="1083"/>
          </w:tcPr>
          <w:p>
            <w:r>
              <w:rPr>
                <w:b/>
                <w:sz w:val="17"/>
              </w:rPr>
              <w:t>Five-repeat 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primary-screen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primary-screen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prespecified screening tier B</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prespecified screening tier B</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prespecified screening tier B</w:t>
            </w:r>
          </w:p>
        </w:tc>
      </w:tr>
    </w:tbl>
    <w:p/>
    <w:p>
      <w:pPr>
        <w:pStyle w:val="Heading1"/>
      </w:pPr>
      <w:r>
        <w:t>Table S10b. Screen-positive models below the original prespecified screening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Primary screen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Tissue-source-site-grouped outer-fold composition for the two colorectal APC examples</w:t>
      </w:r>
    </w:p>
    <w:p>
      <w:r>
        <w:t>The table shows every outer fold for the two near-chance APC examples. The complete 1,613-row file reports test and training patients, tissue-source sites, positive and negative cases, site identifiers, seeds and inner-site-separation diagnostics for every screen-positive model. Inner component selection used the same tissue-source-site grouping and had no site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sites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sites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 site from TITAN representations</w:t>
      </w:r>
    </w:p>
    <w:p>
      <w:r>
        <w:t>Sites with fewer than 10 patients were excluded only from this dedicated confounding analysis. Macro balanced accuracy is the mean per-site recall; its chance reference is 1/k for k analysed sites. Good site prediction demonstrates that the representation carries submitting-site information, but tissue-source site is not a complete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sites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Metadata-stratified representative PLS–ridge benchmark</w:t>
      </w:r>
    </w:p>
    <w:p>
      <w:r>
        <w:t>All 2,073 eligible tests entered the sampling frame. A fixed salted SHA-256 rank selected one endpoint per non-empty outcome-family × empirical sample-size-tercile cell; binary endpoints were additionally stratified by empirical minority-class-fraction tercile. Selection did not use PLS performance and yielded 12 continuous and 35 binary targets. Both algorithms used identical patients, outer folds and inner folds. Continuous hyperparameters maximised the same pooled inner out-of-fold Q²; binary operating thresholds maximised the same inner out-of-fold balanced accuracy. For repeat r, d_r=M_r(ridge)−M_r(PLS), with Δ=(1/5)Σ_r d_r. Each of 2,000 paired patient-resampling replicates retained both methods and all five predictions. The interval does not repeat target sampling, generate partitions or refit models, and it does not represent external transportability. This is representative rather than atlas-wide. Positive differences favour ridge.</w:t>
      </w:r>
    </w:p>
    <w:p>
      <w:pPr>
        <w:pStyle w:val="Caption"/>
      </w:pPr>
      <w:r>
        <w:t>Panel A. Sampling-stratum summary for the primary metric.</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Stratifier</w:t>
            </w:r>
          </w:p>
        </w:tc>
        <w:tc>
          <w:tcPr>
            <w:tcW w:type="dxa" w:w="1392"/>
          </w:tcPr>
          <w:p>
            <w:r>
              <w:rPr>
                <w:b/>
                <w:sz w:val="17"/>
              </w:rPr>
              <w:t>Stratum</w:t>
            </w:r>
          </w:p>
        </w:tc>
        <w:tc>
          <w:tcPr>
            <w:tcW w:type="dxa" w:w="1392"/>
          </w:tcPr>
          <w:p>
            <w:r>
              <w:rPr>
                <w:b/>
                <w:sz w:val="17"/>
              </w:rPr>
              <w:t>Models</w:t>
            </w:r>
          </w:p>
        </w:tc>
        <w:tc>
          <w:tcPr>
            <w:tcW w:type="dxa" w:w="1392"/>
          </w:tcPr>
          <w:p>
            <w:r>
              <w:rPr>
                <w:b/>
                <w:sz w:val="17"/>
              </w:rPr>
              <w:t>Median Δ</w:t>
            </w:r>
          </w:p>
        </w:tc>
        <w:tc>
          <w:tcPr>
            <w:tcW w:type="dxa" w:w="1392"/>
          </w:tcPr>
          <w:p>
            <w:r>
              <w:rPr>
                <w:b/>
                <w:sz w:val="17"/>
              </w:rPr>
              <w:t>IQR</w:t>
            </w:r>
          </w:p>
        </w:tc>
        <w:tc>
          <w:tcPr>
            <w:tcW w:type="dxa" w:w="1392"/>
          </w:tcPr>
          <w:p>
            <w:r>
              <w:rPr>
                <w:b/>
                <w:sz w:val="17"/>
              </w:rPr>
              <w:t>PLS/ridge/uncertain</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high</w:t>
            </w:r>
          </w:p>
        </w:tc>
        <w:tc>
          <w:tcPr>
            <w:tcW w:type="dxa" w:w="1392"/>
            <w:vAlign w:val="center"/>
          </w:tcPr>
          <w:p>
            <w:r>
              <w:rPr>
                <w:sz w:val="16"/>
              </w:rPr>
              <w:t>8</w:t>
            </w:r>
          </w:p>
        </w:tc>
        <w:tc>
          <w:tcPr>
            <w:tcW w:type="dxa" w:w="1392"/>
            <w:vAlign w:val="center"/>
          </w:tcPr>
          <w:p>
            <w:r>
              <w:rPr>
                <w:sz w:val="16"/>
              </w:rPr>
              <w:t>0.013</w:t>
            </w:r>
          </w:p>
        </w:tc>
        <w:tc>
          <w:tcPr>
            <w:tcW w:type="dxa" w:w="1392"/>
            <w:vAlign w:val="center"/>
          </w:tcPr>
          <w:p>
            <w:r>
              <w:rPr>
                <w:sz w:val="16"/>
              </w:rPr>
              <w:t>-0.000 to 0.059</w:t>
            </w:r>
          </w:p>
        </w:tc>
        <w:tc>
          <w:tcPr>
            <w:tcW w:type="dxa" w:w="1392"/>
            <w:vAlign w:val="center"/>
          </w:tcPr>
          <w:p>
            <w:r>
              <w:rPr>
                <w:sz w:val="16"/>
              </w:rPr>
              <w:t>0/2/6</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low</w:t>
            </w:r>
          </w:p>
        </w:tc>
        <w:tc>
          <w:tcPr>
            <w:tcW w:type="dxa" w:w="1392"/>
            <w:vAlign w:val="center"/>
          </w:tcPr>
          <w:p>
            <w:r>
              <w:rPr>
                <w:sz w:val="16"/>
              </w:rPr>
              <w:t>13</w:t>
            </w:r>
          </w:p>
        </w:tc>
        <w:tc>
          <w:tcPr>
            <w:tcW w:type="dxa" w:w="1392"/>
            <w:vAlign w:val="center"/>
          </w:tcPr>
          <w:p>
            <w:r>
              <w:rPr>
                <w:sz w:val="16"/>
              </w:rPr>
              <w:t>0.000</w:t>
            </w:r>
          </w:p>
        </w:tc>
        <w:tc>
          <w:tcPr>
            <w:tcW w:type="dxa" w:w="1392"/>
            <w:vAlign w:val="center"/>
          </w:tcPr>
          <w:p>
            <w:r>
              <w:rPr>
                <w:sz w:val="16"/>
              </w:rPr>
              <w:t>-0.003 to 0.010</w:t>
            </w:r>
          </w:p>
        </w:tc>
        <w:tc>
          <w:tcPr>
            <w:tcW w:type="dxa" w:w="1392"/>
            <w:vAlign w:val="center"/>
          </w:tcPr>
          <w:p>
            <w:r>
              <w:rPr>
                <w:sz w:val="16"/>
              </w:rPr>
              <w:t>0/2/11</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moderate</w:t>
            </w:r>
          </w:p>
        </w:tc>
        <w:tc>
          <w:tcPr>
            <w:tcW w:type="dxa" w:w="1392"/>
            <w:vAlign w:val="center"/>
          </w:tcPr>
          <w:p>
            <w:r>
              <w:rPr>
                <w:sz w:val="16"/>
              </w:rPr>
              <w:t>14</w:t>
            </w:r>
          </w:p>
        </w:tc>
        <w:tc>
          <w:tcPr>
            <w:tcW w:type="dxa" w:w="1392"/>
            <w:vAlign w:val="center"/>
          </w:tcPr>
          <w:p>
            <w:r>
              <w:rPr>
                <w:sz w:val="16"/>
              </w:rPr>
              <w:t>0.013</w:t>
            </w:r>
          </w:p>
        </w:tc>
        <w:tc>
          <w:tcPr>
            <w:tcW w:type="dxa" w:w="1392"/>
            <w:vAlign w:val="center"/>
          </w:tcPr>
          <w:p>
            <w:r>
              <w:rPr>
                <w:sz w:val="16"/>
              </w:rPr>
              <w:t>0.001 to 0.030</w:t>
            </w:r>
          </w:p>
        </w:tc>
        <w:tc>
          <w:tcPr>
            <w:tcW w:type="dxa" w:w="1392"/>
            <w:vAlign w:val="center"/>
          </w:tcPr>
          <w:p>
            <w:r>
              <w:rPr>
                <w:sz w:val="16"/>
              </w:rPr>
              <w:t>0/4/10</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7</w:t>
            </w:r>
          </w:p>
        </w:tc>
        <w:tc>
          <w:tcPr>
            <w:tcW w:type="dxa" w:w="1392"/>
            <w:vAlign w:val="center"/>
          </w:tcPr>
          <w:p>
            <w:r>
              <w:rPr>
                <w:sz w:val="16"/>
              </w:rPr>
              <w:t>0.034</w:t>
            </w:r>
          </w:p>
        </w:tc>
        <w:tc>
          <w:tcPr>
            <w:tcW w:type="dxa" w:w="1392"/>
            <w:vAlign w:val="center"/>
          </w:tcPr>
          <w:p>
            <w:r>
              <w:rPr>
                <w:sz w:val="16"/>
              </w:rPr>
              <w:t>0.019 to 0.045</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mut.</w:t>
            </w:r>
          </w:p>
        </w:tc>
        <w:tc>
          <w:tcPr>
            <w:tcW w:type="dxa" w:w="1392"/>
            <w:vAlign w:val="center"/>
          </w:tcPr>
          <w:p>
            <w:r>
              <w:rPr>
                <w:sz w:val="16"/>
              </w:rPr>
              <w:t>9</w:t>
            </w:r>
          </w:p>
        </w:tc>
        <w:tc>
          <w:tcPr>
            <w:tcW w:type="dxa" w:w="1392"/>
            <w:vAlign w:val="center"/>
          </w:tcPr>
          <w:p>
            <w:r>
              <w:rPr>
                <w:sz w:val="16"/>
              </w:rPr>
              <w:t>0.008</w:t>
            </w:r>
          </w:p>
        </w:tc>
        <w:tc>
          <w:tcPr>
            <w:tcW w:type="dxa" w:w="1392"/>
            <w:vAlign w:val="center"/>
          </w:tcPr>
          <w:p>
            <w:r>
              <w:rPr>
                <w:sz w:val="16"/>
              </w:rPr>
              <w:t>-0.003 to 0.014</w:t>
            </w:r>
          </w:p>
        </w:tc>
        <w:tc>
          <w:tcPr>
            <w:tcW w:type="dxa" w:w="1392"/>
            <w:vAlign w:val="center"/>
          </w:tcPr>
          <w:p>
            <w:r>
              <w:rPr>
                <w:sz w:val="16"/>
              </w:rPr>
              <w:t>0/0/9</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7</w:t>
            </w:r>
          </w:p>
        </w:tc>
        <w:tc>
          <w:tcPr>
            <w:tcW w:type="dxa" w:w="1392"/>
            <w:vAlign w:val="center"/>
          </w:tcPr>
          <w:p>
            <w:r>
              <w:rPr>
                <w:sz w:val="16"/>
              </w:rPr>
              <w:t>0.005</w:t>
            </w:r>
          </w:p>
        </w:tc>
        <w:tc>
          <w:tcPr>
            <w:tcW w:type="dxa" w:w="1392"/>
            <w:vAlign w:val="center"/>
          </w:tcPr>
          <w:p>
            <w:r>
              <w:rPr>
                <w:sz w:val="16"/>
              </w:rPr>
              <w:t>-0.005 to 0.029</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2</w:t>
            </w:r>
          </w:p>
        </w:tc>
        <w:tc>
          <w:tcPr>
            <w:tcW w:type="dxa" w:w="1392"/>
            <w:vAlign w:val="center"/>
          </w:tcPr>
          <w:p>
            <w:r>
              <w:rPr>
                <w:sz w:val="16"/>
              </w:rPr>
              <w:t>0.016</w:t>
            </w:r>
          </w:p>
        </w:tc>
        <w:tc>
          <w:tcPr>
            <w:tcW w:type="dxa" w:w="1392"/>
            <w:vAlign w:val="center"/>
          </w:tcPr>
          <w:p>
            <w:r>
              <w:rPr>
                <w:sz w:val="16"/>
              </w:rPr>
              <w:t>0.011 to 0.021</w:t>
            </w:r>
          </w:p>
        </w:tc>
        <w:tc>
          <w:tcPr>
            <w:tcW w:type="dxa" w:w="1392"/>
            <w:vAlign w:val="center"/>
          </w:tcPr>
          <w:p>
            <w:r>
              <w:rPr>
                <w:sz w:val="16"/>
              </w:rPr>
              <w:t>0/1/1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MSI</w:t>
            </w:r>
          </w:p>
        </w:tc>
        <w:tc>
          <w:tcPr>
            <w:tcW w:type="dxa" w:w="1392"/>
            <w:vAlign w:val="center"/>
          </w:tcPr>
          <w:p>
            <w:r>
              <w:rPr>
                <w:sz w:val="16"/>
              </w:rPr>
              <w:t>1</w:t>
            </w:r>
          </w:p>
        </w:tc>
        <w:tc>
          <w:tcPr>
            <w:tcW w:type="dxa" w:w="1392"/>
            <w:vAlign w:val="center"/>
          </w:tcPr>
          <w:p>
            <w:r>
              <w:rPr>
                <w:sz w:val="16"/>
              </w:rPr>
              <w:t>0.011</w:t>
            </w:r>
          </w:p>
        </w:tc>
        <w:tc>
          <w:tcPr>
            <w:tcW w:type="dxa" w:w="1392"/>
            <w:vAlign w:val="center"/>
          </w:tcPr>
          <w:p>
            <w:r>
              <w:rPr>
                <w:sz w:val="16"/>
              </w:rPr>
              <w:t>0.011 to 0.011</w:t>
            </w:r>
          </w:p>
        </w:tc>
        <w:tc>
          <w:tcPr>
            <w:tcW w:type="dxa" w:w="1392"/>
            <w:vAlign w:val="center"/>
          </w:tcPr>
          <w:p>
            <w:r>
              <w:rPr>
                <w:sz w:val="16"/>
              </w:rPr>
              <w:t>0/0/1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pathway</w:t>
            </w:r>
          </w:p>
        </w:tc>
        <w:tc>
          <w:tcPr>
            <w:tcW w:type="dxa" w:w="1392"/>
            <w:vAlign w:val="center"/>
          </w:tcPr>
          <w:p>
            <w:r>
              <w:rPr>
                <w:sz w:val="16"/>
              </w:rPr>
              <w:t>9</w:t>
            </w:r>
          </w:p>
        </w:tc>
        <w:tc>
          <w:tcPr>
            <w:tcW w:type="dxa" w:w="1392"/>
            <w:vAlign w:val="center"/>
          </w:tcPr>
          <w:p>
            <w:r>
              <w:rPr>
                <w:sz w:val="16"/>
              </w:rPr>
              <w:t>0.000</w:t>
            </w:r>
          </w:p>
        </w:tc>
        <w:tc>
          <w:tcPr>
            <w:tcW w:type="dxa" w:w="1392"/>
            <w:vAlign w:val="center"/>
          </w:tcPr>
          <w:p>
            <w:r>
              <w:rPr>
                <w:sz w:val="16"/>
              </w:rPr>
              <w:t>-0.005 to 0.008</w:t>
            </w:r>
          </w:p>
        </w:tc>
        <w:tc>
          <w:tcPr>
            <w:tcW w:type="dxa" w:w="1392"/>
            <w:vAlign w:val="center"/>
          </w:tcPr>
          <w:p>
            <w:r>
              <w:rPr>
                <w:sz w:val="16"/>
              </w:rPr>
              <w:t>0/1/8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12</w:t>
            </w:r>
          </w:p>
        </w:tc>
        <w:tc>
          <w:tcPr>
            <w:tcW w:type="dxa" w:w="1392"/>
            <w:vAlign w:val="center"/>
          </w:tcPr>
          <w:p>
            <w:r>
              <w:rPr>
                <w:sz w:val="16"/>
              </w:rPr>
              <w:t>0.009</w:t>
            </w:r>
          </w:p>
        </w:tc>
        <w:tc>
          <w:tcPr>
            <w:tcW w:type="dxa" w:w="1392"/>
            <w:vAlign w:val="center"/>
          </w:tcPr>
          <w:p>
            <w:r>
              <w:rPr>
                <w:sz w:val="16"/>
              </w:rPr>
              <w:t>0.000 to 0.027</w:t>
            </w:r>
          </w:p>
        </w:tc>
        <w:tc>
          <w:tcPr>
            <w:tcW w:type="dxa" w:w="1392"/>
            <w:vAlign w:val="center"/>
          </w:tcPr>
          <w:p>
            <w:r>
              <w:rPr>
                <w:sz w:val="16"/>
              </w:rPr>
              <w:t>0/4/8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13</w:t>
            </w:r>
          </w:p>
        </w:tc>
        <w:tc>
          <w:tcPr>
            <w:tcW w:type="dxa" w:w="1392"/>
            <w:vAlign w:val="center"/>
          </w:tcPr>
          <w:p>
            <w:r>
              <w:rPr>
                <w:sz w:val="16"/>
              </w:rPr>
              <w:t>0.011</w:t>
            </w:r>
          </w:p>
        </w:tc>
        <w:tc>
          <w:tcPr>
            <w:tcW w:type="dxa" w:w="1392"/>
            <w:vAlign w:val="center"/>
          </w:tcPr>
          <w:p>
            <w:r>
              <w:rPr>
                <w:sz w:val="16"/>
              </w:rPr>
              <w:t>0.005 to 0.035</w:t>
            </w:r>
          </w:p>
        </w:tc>
        <w:tc>
          <w:tcPr>
            <w:tcW w:type="dxa" w:w="1392"/>
            <w:vAlign w:val="center"/>
          </w:tcPr>
          <w:p>
            <w:r>
              <w:rPr>
                <w:sz w:val="16"/>
              </w:rPr>
              <w:t>0/3/10</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10</w:t>
            </w:r>
          </w:p>
        </w:tc>
        <w:tc>
          <w:tcPr>
            <w:tcW w:type="dxa" w:w="1392"/>
            <w:vAlign w:val="center"/>
          </w:tcPr>
          <w:p>
            <w:r>
              <w:rPr>
                <w:sz w:val="16"/>
              </w:rPr>
              <w:t>-0.001</w:t>
            </w:r>
          </w:p>
        </w:tc>
        <w:tc>
          <w:tcPr>
            <w:tcW w:type="dxa" w:w="1392"/>
            <w:vAlign w:val="center"/>
          </w:tcPr>
          <w:p>
            <w:r>
              <w:rPr>
                <w:sz w:val="16"/>
              </w:rPr>
              <w:t>-0.006 to 0.016</w:t>
            </w:r>
          </w:p>
        </w:tc>
        <w:tc>
          <w:tcPr>
            <w:tcW w:type="dxa" w:w="1392"/>
            <w:vAlign w:val="center"/>
          </w:tcPr>
          <w:p>
            <w:r>
              <w:rPr>
                <w:sz w:val="16"/>
              </w:rPr>
              <w:t>0/1/9</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3</w:t>
            </w:r>
          </w:p>
        </w:tc>
        <w:tc>
          <w:tcPr>
            <w:tcW w:type="dxa" w:w="1392"/>
            <w:vAlign w:val="center"/>
          </w:tcPr>
          <w:p>
            <w:r>
              <w:rPr>
                <w:sz w:val="16"/>
              </w:rPr>
              <w:t>0.033</w:t>
            </w:r>
          </w:p>
        </w:tc>
        <w:tc>
          <w:tcPr>
            <w:tcW w:type="dxa" w:w="1392"/>
            <w:vAlign w:val="center"/>
          </w:tcPr>
          <w:p>
            <w:r>
              <w:rPr>
                <w:sz w:val="16"/>
              </w:rPr>
              <w:t>0.028 to 0.061</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3</w:t>
            </w:r>
          </w:p>
        </w:tc>
        <w:tc>
          <w:tcPr>
            <w:tcW w:type="dxa" w:w="1392"/>
            <w:vAlign w:val="center"/>
          </w:tcPr>
          <w:p>
            <w:r>
              <w:rPr>
                <w:sz w:val="16"/>
              </w:rPr>
              <w:t>0.058</w:t>
            </w:r>
          </w:p>
        </w:tc>
        <w:tc>
          <w:tcPr>
            <w:tcW w:type="dxa" w:w="1392"/>
            <w:vAlign w:val="center"/>
          </w:tcPr>
          <w:p>
            <w:r>
              <w:rPr>
                <w:sz w:val="16"/>
              </w:rPr>
              <w:t>0.025 to 0.173</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3</w:t>
            </w:r>
          </w:p>
        </w:tc>
        <w:tc>
          <w:tcPr>
            <w:tcW w:type="dxa" w:w="1392"/>
            <w:vAlign w:val="center"/>
          </w:tcPr>
          <w:p>
            <w:r>
              <w:rPr>
                <w:sz w:val="16"/>
              </w:rPr>
              <w:t>0.064</w:t>
            </w:r>
          </w:p>
        </w:tc>
        <w:tc>
          <w:tcPr>
            <w:tcW w:type="dxa" w:w="1392"/>
            <w:vAlign w:val="center"/>
          </w:tcPr>
          <w:p>
            <w:r>
              <w:rPr>
                <w:sz w:val="16"/>
              </w:rPr>
              <w:t>0.049 to 0.172</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immune</w:t>
            </w:r>
          </w:p>
        </w:tc>
        <w:tc>
          <w:tcPr>
            <w:tcW w:type="dxa" w:w="1392"/>
            <w:vAlign w:val="center"/>
          </w:tcPr>
          <w:p>
            <w:r>
              <w:rPr>
                <w:sz w:val="16"/>
              </w:rPr>
              <w:t>3</w:t>
            </w:r>
          </w:p>
        </w:tc>
        <w:tc>
          <w:tcPr>
            <w:tcW w:type="dxa" w:w="1392"/>
            <w:vAlign w:val="center"/>
          </w:tcPr>
          <w:p>
            <w:r>
              <w:rPr>
                <w:sz w:val="16"/>
              </w:rPr>
              <w:t>0.048</w:t>
            </w:r>
          </w:p>
        </w:tc>
        <w:tc>
          <w:tcPr>
            <w:tcW w:type="dxa" w:w="1392"/>
            <w:vAlign w:val="center"/>
          </w:tcPr>
          <w:p>
            <w:r>
              <w:rPr>
                <w:sz w:val="16"/>
              </w:rPr>
              <w:t>0.036 to 0.184</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4</w:t>
            </w:r>
          </w:p>
        </w:tc>
        <w:tc>
          <w:tcPr>
            <w:tcW w:type="dxa" w:w="1392"/>
            <w:vAlign w:val="center"/>
          </w:tcPr>
          <w:p>
            <w:r>
              <w:rPr>
                <w:sz w:val="16"/>
              </w:rPr>
              <w:t>0.035</w:t>
            </w:r>
          </w:p>
        </w:tc>
        <w:tc>
          <w:tcPr>
            <w:tcW w:type="dxa" w:w="1392"/>
            <w:vAlign w:val="center"/>
          </w:tcPr>
          <w:p>
            <w:r>
              <w:rPr>
                <w:sz w:val="16"/>
              </w:rPr>
              <w:t>0.015 to 0.052</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4</w:t>
            </w:r>
          </w:p>
        </w:tc>
        <w:tc>
          <w:tcPr>
            <w:tcW w:type="dxa" w:w="1392"/>
            <w:vAlign w:val="center"/>
          </w:tcPr>
          <w:p>
            <w:r>
              <w:rPr>
                <w:sz w:val="16"/>
              </w:rPr>
              <w:t>0.034</w:t>
            </w:r>
          </w:p>
        </w:tc>
        <w:tc>
          <w:tcPr>
            <w:tcW w:type="dxa" w:w="1392"/>
            <w:vAlign w:val="center"/>
          </w:tcPr>
          <w:p>
            <w:r>
              <w:rPr>
                <w:sz w:val="16"/>
              </w:rPr>
              <w:t>0.031 to 0.041</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4</w:t>
            </w:r>
          </w:p>
        </w:tc>
        <w:tc>
          <w:tcPr>
            <w:tcW w:type="dxa" w:w="1392"/>
            <w:vAlign w:val="center"/>
          </w:tcPr>
          <w:p>
            <w:r>
              <w:rPr>
                <w:sz w:val="16"/>
              </w:rPr>
              <w:t>0.284</w:t>
            </w:r>
          </w:p>
        </w:tc>
        <w:tc>
          <w:tcPr>
            <w:tcW w:type="dxa" w:w="1392"/>
            <w:vAlign w:val="center"/>
          </w:tcPr>
          <w:p>
            <w:r>
              <w:rPr>
                <w:sz w:val="16"/>
              </w:rPr>
              <w:t>0.232 to 0.297</w:t>
            </w:r>
          </w:p>
        </w:tc>
        <w:tc>
          <w:tcPr>
            <w:tcW w:type="dxa" w:w="1392"/>
            <w:vAlign w:val="center"/>
          </w:tcPr>
          <w:p>
            <w:r>
              <w:rPr>
                <w:sz w:val="16"/>
              </w:rPr>
              <w:t>0/4/0</w:t>
            </w:r>
          </w:p>
        </w:tc>
      </w:tr>
    </w:tbl>
    <w:p/>
    <w:p>
      <w:pPr>
        <w:pStyle w:val="Caption"/>
      </w:pPr>
      <w:r>
        <w:t>Panel B. Target-level primary metric: AUROC for binary outcomes and Q² for continuous outcomes.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AUROC</w:t>
            </w:r>
          </w:p>
        </w:tc>
        <w:tc>
          <w:tcPr>
            <w:tcW w:type="dxa" w:w="1083"/>
            <w:vAlign w:val="center"/>
          </w:tcPr>
          <w:p>
            <w:r>
              <w:rPr>
                <w:sz w:val="16"/>
              </w:rPr>
              <w:t>0.883</w:t>
            </w:r>
          </w:p>
        </w:tc>
        <w:tc>
          <w:tcPr>
            <w:tcW w:type="dxa" w:w="1083"/>
            <w:vAlign w:val="center"/>
          </w:tcPr>
          <w:p>
            <w:r>
              <w:rPr>
                <w:sz w:val="16"/>
              </w:rPr>
              <w:t>0.894</w:t>
            </w:r>
          </w:p>
        </w:tc>
        <w:tc>
          <w:tcPr>
            <w:tcW w:type="dxa" w:w="1083"/>
            <w:vAlign w:val="center"/>
          </w:tcPr>
          <w:p>
            <w:r>
              <w:rPr>
                <w:sz w:val="16"/>
              </w:rPr>
              <w:t>0.011</w:t>
            </w:r>
          </w:p>
        </w:tc>
        <w:tc>
          <w:tcPr>
            <w:tcW w:type="dxa" w:w="1083"/>
            <w:vAlign w:val="center"/>
          </w:tcPr>
          <w:p>
            <w:r>
              <w:rPr>
                <w:sz w:val="16"/>
              </w:rPr>
              <w:t>-0.006 to 0.029</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AUROC</w:t>
            </w:r>
          </w:p>
        </w:tc>
        <w:tc>
          <w:tcPr>
            <w:tcW w:type="dxa" w:w="1083"/>
            <w:vAlign w:val="center"/>
          </w:tcPr>
          <w:p>
            <w:r>
              <w:rPr>
                <w:sz w:val="16"/>
              </w:rPr>
              <w:t>0.840</w:t>
            </w:r>
          </w:p>
        </w:tc>
        <w:tc>
          <w:tcPr>
            <w:tcW w:type="dxa" w:w="1083"/>
            <w:vAlign w:val="center"/>
          </w:tcPr>
          <w:p>
            <w:r>
              <w:rPr>
                <w:sz w:val="16"/>
              </w:rPr>
              <w:t>0.845</w:t>
            </w:r>
          </w:p>
        </w:tc>
        <w:tc>
          <w:tcPr>
            <w:tcW w:type="dxa" w:w="1083"/>
            <w:vAlign w:val="center"/>
          </w:tcPr>
          <w:p>
            <w:r>
              <w:rPr>
                <w:sz w:val="16"/>
              </w:rPr>
              <w:t>0.006</w:t>
            </w:r>
          </w:p>
        </w:tc>
        <w:tc>
          <w:tcPr>
            <w:tcW w:type="dxa" w:w="1083"/>
            <w:vAlign w:val="center"/>
          </w:tcPr>
          <w:p>
            <w:r>
              <w:rPr>
                <w:sz w:val="16"/>
              </w:rPr>
              <w:t>-0.010 to 0.022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AUROC</w:t>
            </w:r>
          </w:p>
        </w:tc>
        <w:tc>
          <w:tcPr>
            <w:tcW w:type="dxa" w:w="1083"/>
            <w:vAlign w:val="center"/>
          </w:tcPr>
          <w:p>
            <w:r>
              <w:rPr>
                <w:sz w:val="16"/>
              </w:rPr>
              <w:t>0.781</w:t>
            </w:r>
          </w:p>
        </w:tc>
        <w:tc>
          <w:tcPr>
            <w:tcW w:type="dxa" w:w="1083"/>
            <w:vAlign w:val="center"/>
          </w:tcPr>
          <w:p>
            <w:r>
              <w:rPr>
                <w:sz w:val="16"/>
              </w:rPr>
              <w:t>0.837</w:t>
            </w:r>
          </w:p>
        </w:tc>
        <w:tc>
          <w:tcPr>
            <w:tcW w:type="dxa" w:w="1083"/>
            <w:vAlign w:val="center"/>
          </w:tcPr>
          <w:p>
            <w:r>
              <w:rPr>
                <w:sz w:val="16"/>
              </w:rPr>
              <w:t>0.057</w:t>
            </w:r>
          </w:p>
        </w:tc>
        <w:tc>
          <w:tcPr>
            <w:tcW w:type="dxa" w:w="1083"/>
            <w:vAlign w:val="center"/>
          </w:tcPr>
          <w:p>
            <w:r>
              <w:rPr>
                <w:sz w:val="16"/>
              </w:rPr>
              <w:t>0.008 to 0.112</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AUROC</w:t>
            </w:r>
          </w:p>
        </w:tc>
        <w:tc>
          <w:tcPr>
            <w:tcW w:type="dxa" w:w="1083"/>
            <w:vAlign w:val="center"/>
          </w:tcPr>
          <w:p>
            <w:r>
              <w:rPr>
                <w:sz w:val="16"/>
              </w:rPr>
              <w:t>0.759</w:t>
            </w:r>
          </w:p>
        </w:tc>
        <w:tc>
          <w:tcPr>
            <w:tcW w:type="dxa" w:w="1083"/>
            <w:vAlign w:val="center"/>
          </w:tcPr>
          <w:p>
            <w:r>
              <w:rPr>
                <w:sz w:val="16"/>
              </w:rPr>
              <w:t>0.756</w:t>
            </w:r>
          </w:p>
        </w:tc>
        <w:tc>
          <w:tcPr>
            <w:tcW w:type="dxa" w:w="1083"/>
            <w:vAlign w:val="center"/>
          </w:tcPr>
          <w:p>
            <w:r>
              <w:rPr>
                <w:sz w:val="16"/>
              </w:rPr>
              <w:t>-0.003</w:t>
            </w:r>
          </w:p>
        </w:tc>
        <w:tc>
          <w:tcPr>
            <w:tcW w:type="dxa" w:w="1083"/>
            <w:vAlign w:val="center"/>
          </w:tcPr>
          <w:p>
            <w:r>
              <w:rPr>
                <w:sz w:val="16"/>
              </w:rPr>
              <w:t>-0.012 to 0.005</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AUROC</w:t>
            </w:r>
          </w:p>
        </w:tc>
        <w:tc>
          <w:tcPr>
            <w:tcW w:type="dxa" w:w="1083"/>
            <w:vAlign w:val="center"/>
          </w:tcPr>
          <w:p>
            <w:r>
              <w:rPr>
                <w:sz w:val="16"/>
              </w:rPr>
              <w:t>0.747</w:t>
            </w:r>
          </w:p>
        </w:tc>
        <w:tc>
          <w:tcPr>
            <w:tcW w:type="dxa" w:w="1083"/>
            <w:vAlign w:val="center"/>
          </w:tcPr>
          <w:p>
            <w:r>
              <w:rPr>
                <w:sz w:val="16"/>
              </w:rPr>
              <w:t>0.746</w:t>
            </w:r>
          </w:p>
        </w:tc>
        <w:tc>
          <w:tcPr>
            <w:tcW w:type="dxa" w:w="1083"/>
            <w:vAlign w:val="center"/>
          </w:tcPr>
          <w:p>
            <w:r>
              <w:rPr>
                <w:sz w:val="16"/>
              </w:rPr>
              <w:t>-0.001</w:t>
            </w:r>
          </w:p>
        </w:tc>
        <w:tc>
          <w:tcPr>
            <w:tcW w:type="dxa" w:w="1083"/>
            <w:vAlign w:val="center"/>
          </w:tcPr>
          <w:p>
            <w:r>
              <w:rPr>
                <w:sz w:val="16"/>
              </w:rPr>
              <w:t>-0.026 to 0.024</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AUROC</w:t>
            </w:r>
          </w:p>
        </w:tc>
        <w:tc>
          <w:tcPr>
            <w:tcW w:type="dxa" w:w="1083"/>
            <w:vAlign w:val="center"/>
          </w:tcPr>
          <w:p>
            <w:r>
              <w:rPr>
                <w:sz w:val="16"/>
              </w:rPr>
              <w:t>0.718</w:t>
            </w:r>
          </w:p>
        </w:tc>
        <w:tc>
          <w:tcPr>
            <w:tcW w:type="dxa" w:w="1083"/>
            <w:vAlign w:val="center"/>
          </w:tcPr>
          <w:p>
            <w:r>
              <w:rPr>
                <w:sz w:val="16"/>
              </w:rPr>
              <w:t>0.744</w:t>
            </w:r>
          </w:p>
        </w:tc>
        <w:tc>
          <w:tcPr>
            <w:tcW w:type="dxa" w:w="1083"/>
            <w:vAlign w:val="center"/>
          </w:tcPr>
          <w:p>
            <w:r>
              <w:rPr>
                <w:sz w:val="16"/>
              </w:rPr>
              <w:t>0.027</w:t>
            </w:r>
          </w:p>
        </w:tc>
        <w:tc>
          <w:tcPr>
            <w:tcW w:type="dxa" w:w="1083"/>
            <w:vAlign w:val="center"/>
          </w:tcPr>
          <w:p>
            <w:r>
              <w:rPr>
                <w:sz w:val="16"/>
              </w:rPr>
              <w:t>0.004 to 0.048</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AUROC</w:t>
            </w:r>
          </w:p>
        </w:tc>
        <w:tc>
          <w:tcPr>
            <w:tcW w:type="dxa" w:w="1083"/>
            <w:vAlign w:val="center"/>
          </w:tcPr>
          <w:p>
            <w:r>
              <w:rPr>
                <w:sz w:val="16"/>
              </w:rPr>
              <w:t>0.705</w:t>
            </w:r>
          </w:p>
        </w:tc>
        <w:tc>
          <w:tcPr>
            <w:tcW w:type="dxa" w:w="1083"/>
            <w:vAlign w:val="center"/>
          </w:tcPr>
          <w:p>
            <w:r>
              <w:rPr>
                <w:sz w:val="16"/>
              </w:rPr>
              <w:t>0.713</w:t>
            </w:r>
          </w:p>
        </w:tc>
        <w:tc>
          <w:tcPr>
            <w:tcW w:type="dxa" w:w="1083"/>
            <w:vAlign w:val="center"/>
          </w:tcPr>
          <w:p>
            <w:r>
              <w:rPr>
                <w:sz w:val="16"/>
              </w:rPr>
              <w:t>0.008</w:t>
            </w:r>
          </w:p>
        </w:tc>
        <w:tc>
          <w:tcPr>
            <w:tcW w:type="dxa" w:w="1083"/>
            <w:vAlign w:val="center"/>
          </w:tcPr>
          <w:p>
            <w:r>
              <w:rPr>
                <w:sz w:val="16"/>
              </w:rPr>
              <w:t>-0.006 to 0.023</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AUROC</w:t>
            </w:r>
          </w:p>
        </w:tc>
        <w:tc>
          <w:tcPr>
            <w:tcW w:type="dxa" w:w="1083"/>
            <w:vAlign w:val="center"/>
          </w:tcPr>
          <w:p>
            <w:r>
              <w:rPr>
                <w:sz w:val="16"/>
              </w:rPr>
              <w:t>0.674</w:t>
            </w:r>
          </w:p>
        </w:tc>
        <w:tc>
          <w:tcPr>
            <w:tcW w:type="dxa" w:w="1083"/>
            <w:vAlign w:val="center"/>
          </w:tcPr>
          <w:p>
            <w:r>
              <w:rPr>
                <w:sz w:val="16"/>
              </w:rPr>
              <w:t>0.689</w:t>
            </w:r>
          </w:p>
        </w:tc>
        <w:tc>
          <w:tcPr>
            <w:tcW w:type="dxa" w:w="1083"/>
            <w:vAlign w:val="center"/>
          </w:tcPr>
          <w:p>
            <w:r>
              <w:rPr>
                <w:sz w:val="16"/>
              </w:rPr>
              <w:t>0.014</w:t>
            </w:r>
          </w:p>
        </w:tc>
        <w:tc>
          <w:tcPr>
            <w:tcW w:type="dxa" w:w="1083"/>
            <w:vAlign w:val="center"/>
          </w:tcPr>
          <w:p>
            <w:r>
              <w:rPr>
                <w:sz w:val="16"/>
              </w:rPr>
              <w:t>-0.009 to 0.039</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AUROC</w:t>
            </w:r>
          </w:p>
        </w:tc>
        <w:tc>
          <w:tcPr>
            <w:tcW w:type="dxa" w:w="1083"/>
            <w:vAlign w:val="center"/>
          </w:tcPr>
          <w:p>
            <w:r>
              <w:rPr>
                <w:sz w:val="16"/>
              </w:rPr>
              <w:t>0.664</w:t>
            </w:r>
          </w:p>
        </w:tc>
        <w:tc>
          <w:tcPr>
            <w:tcW w:type="dxa" w:w="1083"/>
            <w:vAlign w:val="center"/>
          </w:tcPr>
          <w:p>
            <w:r>
              <w:rPr>
                <w:sz w:val="16"/>
              </w:rPr>
              <w:t>0.661</w:t>
            </w:r>
          </w:p>
        </w:tc>
        <w:tc>
          <w:tcPr>
            <w:tcW w:type="dxa" w:w="1083"/>
            <w:vAlign w:val="center"/>
          </w:tcPr>
          <w:p>
            <w:r>
              <w:rPr>
                <w:sz w:val="16"/>
              </w:rPr>
              <w:t>-0.003</w:t>
            </w:r>
          </w:p>
        </w:tc>
        <w:tc>
          <w:tcPr>
            <w:tcW w:type="dxa" w:w="1083"/>
            <w:vAlign w:val="center"/>
          </w:tcPr>
          <w:p>
            <w:r>
              <w:rPr>
                <w:sz w:val="16"/>
              </w:rPr>
              <w:t>-0.047 to 0.038</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AUROC</w:t>
            </w:r>
          </w:p>
        </w:tc>
        <w:tc>
          <w:tcPr>
            <w:tcW w:type="dxa" w:w="1083"/>
            <w:vAlign w:val="center"/>
          </w:tcPr>
          <w:p>
            <w:r>
              <w:rPr>
                <w:sz w:val="16"/>
              </w:rPr>
              <w:t>0.658</w:t>
            </w:r>
          </w:p>
        </w:tc>
        <w:tc>
          <w:tcPr>
            <w:tcW w:type="dxa" w:w="1083"/>
            <w:vAlign w:val="center"/>
          </w:tcPr>
          <w:p>
            <w:r>
              <w:rPr>
                <w:sz w:val="16"/>
              </w:rPr>
              <w:t>0.692</w:t>
            </w:r>
          </w:p>
        </w:tc>
        <w:tc>
          <w:tcPr>
            <w:tcW w:type="dxa" w:w="1083"/>
            <w:vAlign w:val="center"/>
          </w:tcPr>
          <w:p>
            <w:r>
              <w:rPr>
                <w:sz w:val="16"/>
              </w:rPr>
              <w:t>0.034</w:t>
            </w:r>
          </w:p>
        </w:tc>
        <w:tc>
          <w:tcPr>
            <w:tcW w:type="dxa" w:w="1083"/>
            <w:vAlign w:val="center"/>
          </w:tcPr>
          <w:p>
            <w:r>
              <w:rPr>
                <w:sz w:val="16"/>
              </w:rPr>
              <w:t>0.017 to 0.051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AUROC</w:t>
            </w:r>
          </w:p>
        </w:tc>
        <w:tc>
          <w:tcPr>
            <w:tcW w:type="dxa" w:w="1083"/>
            <w:vAlign w:val="center"/>
          </w:tcPr>
          <w:p>
            <w:r>
              <w:rPr>
                <w:sz w:val="16"/>
              </w:rPr>
              <w:t>0.652</w:t>
            </w:r>
          </w:p>
        </w:tc>
        <w:tc>
          <w:tcPr>
            <w:tcW w:type="dxa" w:w="1083"/>
            <w:vAlign w:val="center"/>
          </w:tcPr>
          <w:p>
            <w:r>
              <w:rPr>
                <w:sz w:val="16"/>
              </w:rPr>
              <w:t>0.719</w:t>
            </w:r>
          </w:p>
        </w:tc>
        <w:tc>
          <w:tcPr>
            <w:tcW w:type="dxa" w:w="1083"/>
            <w:vAlign w:val="center"/>
          </w:tcPr>
          <w:p>
            <w:r>
              <w:rPr>
                <w:sz w:val="16"/>
              </w:rPr>
              <w:t>0.067</w:t>
            </w:r>
          </w:p>
        </w:tc>
        <w:tc>
          <w:tcPr>
            <w:tcW w:type="dxa" w:w="1083"/>
            <w:vAlign w:val="center"/>
          </w:tcPr>
          <w:p>
            <w:r>
              <w:rPr>
                <w:sz w:val="16"/>
              </w:rPr>
              <w:t>0.023 to 0.117</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AUROC</w:t>
            </w:r>
          </w:p>
        </w:tc>
        <w:tc>
          <w:tcPr>
            <w:tcW w:type="dxa" w:w="1083"/>
            <w:vAlign w:val="center"/>
          </w:tcPr>
          <w:p>
            <w:r>
              <w:rPr>
                <w:sz w:val="16"/>
              </w:rPr>
              <w:t>0.651</w:t>
            </w:r>
          </w:p>
        </w:tc>
        <w:tc>
          <w:tcPr>
            <w:tcW w:type="dxa" w:w="1083"/>
            <w:vAlign w:val="center"/>
          </w:tcPr>
          <w:p>
            <w:r>
              <w:rPr>
                <w:sz w:val="16"/>
              </w:rPr>
              <w:t>0.651</w:t>
            </w:r>
          </w:p>
        </w:tc>
        <w:tc>
          <w:tcPr>
            <w:tcW w:type="dxa" w:w="1083"/>
            <w:vAlign w:val="center"/>
          </w:tcPr>
          <w:p>
            <w:r>
              <w:rPr>
                <w:sz w:val="16"/>
              </w:rPr>
              <w:t>0.000</w:t>
            </w:r>
          </w:p>
        </w:tc>
        <w:tc>
          <w:tcPr>
            <w:tcW w:type="dxa" w:w="1083"/>
            <w:vAlign w:val="center"/>
          </w:tcPr>
          <w:p>
            <w:r>
              <w:rPr>
                <w:sz w:val="16"/>
              </w:rPr>
              <w:t>-0.021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AUROC</w:t>
            </w:r>
          </w:p>
        </w:tc>
        <w:tc>
          <w:tcPr>
            <w:tcW w:type="dxa" w:w="1083"/>
            <w:vAlign w:val="center"/>
          </w:tcPr>
          <w:p>
            <w:r>
              <w:rPr>
                <w:sz w:val="16"/>
              </w:rPr>
              <w:t>0.643</w:t>
            </w:r>
          </w:p>
        </w:tc>
        <w:tc>
          <w:tcPr>
            <w:tcW w:type="dxa" w:w="1083"/>
            <w:vAlign w:val="center"/>
          </w:tcPr>
          <w:p>
            <w:r>
              <w:rPr>
                <w:sz w:val="16"/>
              </w:rPr>
              <w:t>0.640</w:t>
            </w:r>
          </w:p>
        </w:tc>
        <w:tc>
          <w:tcPr>
            <w:tcW w:type="dxa" w:w="1083"/>
            <w:vAlign w:val="center"/>
          </w:tcPr>
          <w:p>
            <w:r>
              <w:rPr>
                <w:sz w:val="16"/>
              </w:rPr>
              <w:t>-0.003</w:t>
            </w:r>
          </w:p>
        </w:tc>
        <w:tc>
          <w:tcPr>
            <w:tcW w:type="dxa" w:w="1083"/>
            <w:vAlign w:val="center"/>
          </w:tcPr>
          <w:p>
            <w:r>
              <w:rPr>
                <w:sz w:val="16"/>
              </w:rPr>
              <w:t>-0.022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AUROC</w:t>
            </w:r>
          </w:p>
        </w:tc>
        <w:tc>
          <w:tcPr>
            <w:tcW w:type="dxa" w:w="1083"/>
            <w:vAlign w:val="center"/>
          </w:tcPr>
          <w:p>
            <w:r>
              <w:rPr>
                <w:sz w:val="16"/>
              </w:rPr>
              <w:t>0.640</w:t>
            </w:r>
          </w:p>
        </w:tc>
        <w:tc>
          <w:tcPr>
            <w:tcW w:type="dxa" w:w="1083"/>
            <w:vAlign w:val="center"/>
          </w:tcPr>
          <w:p>
            <w:r>
              <w:rPr>
                <w:sz w:val="16"/>
              </w:rPr>
              <w:t>0.675</w:t>
            </w:r>
          </w:p>
        </w:tc>
        <w:tc>
          <w:tcPr>
            <w:tcW w:type="dxa" w:w="1083"/>
            <w:vAlign w:val="center"/>
          </w:tcPr>
          <w:p>
            <w:r>
              <w:rPr>
                <w:sz w:val="16"/>
              </w:rPr>
              <w:t>0.035</w:t>
            </w:r>
          </w:p>
        </w:tc>
        <w:tc>
          <w:tcPr>
            <w:tcW w:type="dxa" w:w="1083"/>
            <w:vAlign w:val="center"/>
          </w:tcPr>
          <w:p>
            <w:r>
              <w:rPr>
                <w:sz w:val="16"/>
              </w:rPr>
              <w:t>0.005 to 0.065</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AUROC</w:t>
            </w:r>
          </w:p>
        </w:tc>
        <w:tc>
          <w:tcPr>
            <w:tcW w:type="dxa" w:w="1083"/>
            <w:vAlign w:val="center"/>
          </w:tcPr>
          <w:p>
            <w:r>
              <w:rPr>
                <w:sz w:val="16"/>
              </w:rPr>
              <w:t>0.639</w:t>
            </w:r>
          </w:p>
        </w:tc>
        <w:tc>
          <w:tcPr>
            <w:tcW w:type="dxa" w:w="1083"/>
            <w:vAlign w:val="center"/>
          </w:tcPr>
          <w:p>
            <w:r>
              <w:rPr>
                <w:sz w:val="16"/>
              </w:rPr>
              <w:t>0.670</w:t>
            </w:r>
          </w:p>
        </w:tc>
        <w:tc>
          <w:tcPr>
            <w:tcW w:type="dxa" w:w="1083"/>
            <w:vAlign w:val="center"/>
          </w:tcPr>
          <w:p>
            <w:r>
              <w:rPr>
                <w:sz w:val="16"/>
              </w:rPr>
              <w:t>0.031</w:t>
            </w:r>
          </w:p>
        </w:tc>
        <w:tc>
          <w:tcPr>
            <w:tcW w:type="dxa" w:w="1083"/>
            <w:vAlign w:val="center"/>
          </w:tcPr>
          <w:p>
            <w:r>
              <w:rPr>
                <w:sz w:val="16"/>
              </w:rPr>
              <w:t>0.003 to 0.063</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AUROC</w:t>
            </w:r>
          </w:p>
        </w:tc>
        <w:tc>
          <w:tcPr>
            <w:tcW w:type="dxa" w:w="1083"/>
            <w:vAlign w:val="center"/>
          </w:tcPr>
          <w:p>
            <w:r>
              <w:rPr>
                <w:sz w:val="16"/>
              </w:rPr>
              <w:t>0.627</w:t>
            </w:r>
          </w:p>
        </w:tc>
        <w:tc>
          <w:tcPr>
            <w:tcW w:type="dxa" w:w="1083"/>
            <w:vAlign w:val="center"/>
          </w:tcPr>
          <w:p>
            <w:r>
              <w:rPr>
                <w:sz w:val="16"/>
              </w:rPr>
              <w:t>0.662</w:t>
            </w:r>
          </w:p>
        </w:tc>
        <w:tc>
          <w:tcPr>
            <w:tcW w:type="dxa" w:w="1083"/>
            <w:vAlign w:val="center"/>
          </w:tcPr>
          <w:p>
            <w:r>
              <w:rPr>
                <w:sz w:val="16"/>
              </w:rPr>
              <w:t>0.035</w:t>
            </w:r>
          </w:p>
        </w:tc>
        <w:tc>
          <w:tcPr>
            <w:tcW w:type="dxa" w:w="1083"/>
            <w:vAlign w:val="center"/>
          </w:tcPr>
          <w:p>
            <w:r>
              <w:rPr>
                <w:sz w:val="16"/>
              </w:rPr>
              <w:t>-0.014 to 0.086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AUROC</w:t>
            </w:r>
          </w:p>
        </w:tc>
        <w:tc>
          <w:tcPr>
            <w:tcW w:type="dxa" w:w="1083"/>
            <w:vAlign w:val="center"/>
          </w:tcPr>
          <w:p>
            <w:r>
              <w:rPr>
                <w:sz w:val="16"/>
              </w:rPr>
              <w:t>0.625</w:t>
            </w:r>
          </w:p>
        </w:tc>
        <w:tc>
          <w:tcPr>
            <w:tcW w:type="dxa" w:w="1083"/>
            <w:vAlign w:val="center"/>
          </w:tcPr>
          <w:p>
            <w:r>
              <w:rPr>
                <w:sz w:val="16"/>
              </w:rPr>
              <w:t>0.651</w:t>
            </w:r>
          </w:p>
        </w:tc>
        <w:tc>
          <w:tcPr>
            <w:tcW w:type="dxa" w:w="1083"/>
            <w:vAlign w:val="center"/>
          </w:tcPr>
          <w:p>
            <w:r>
              <w:rPr>
                <w:sz w:val="16"/>
              </w:rPr>
              <w:t>0.027</w:t>
            </w:r>
          </w:p>
        </w:tc>
        <w:tc>
          <w:tcPr>
            <w:tcW w:type="dxa" w:w="1083"/>
            <w:vAlign w:val="center"/>
          </w:tcPr>
          <w:p>
            <w:r>
              <w:rPr>
                <w:sz w:val="16"/>
              </w:rPr>
              <w:t>-0.006 to 0.059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AUROC</w:t>
            </w:r>
          </w:p>
        </w:tc>
        <w:tc>
          <w:tcPr>
            <w:tcW w:type="dxa" w:w="1083"/>
            <w:vAlign w:val="center"/>
          </w:tcPr>
          <w:p>
            <w:r>
              <w:rPr>
                <w:sz w:val="16"/>
              </w:rPr>
              <w:t>0.623</w:t>
            </w:r>
          </w:p>
        </w:tc>
        <w:tc>
          <w:tcPr>
            <w:tcW w:type="dxa" w:w="1083"/>
            <w:vAlign w:val="center"/>
          </w:tcPr>
          <w:p>
            <w:r>
              <w:rPr>
                <w:sz w:val="16"/>
              </w:rPr>
              <w:t>0.624</w:t>
            </w:r>
          </w:p>
        </w:tc>
        <w:tc>
          <w:tcPr>
            <w:tcW w:type="dxa" w:w="1083"/>
            <w:vAlign w:val="center"/>
          </w:tcPr>
          <w:p>
            <w:r>
              <w:rPr>
                <w:sz w:val="16"/>
              </w:rPr>
              <w:t>0.001</w:t>
            </w:r>
          </w:p>
        </w:tc>
        <w:tc>
          <w:tcPr>
            <w:tcW w:type="dxa" w:w="1083"/>
            <w:vAlign w:val="center"/>
          </w:tcPr>
          <w:p>
            <w:r>
              <w:rPr>
                <w:sz w:val="16"/>
              </w:rPr>
              <w:t>-0.071 to 0.082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AUROC</w:t>
            </w:r>
          </w:p>
        </w:tc>
        <w:tc>
          <w:tcPr>
            <w:tcW w:type="dxa" w:w="1083"/>
            <w:vAlign w:val="center"/>
          </w:tcPr>
          <w:p>
            <w:r>
              <w:rPr>
                <w:sz w:val="16"/>
              </w:rPr>
              <w:t>0.620</w:t>
            </w:r>
          </w:p>
        </w:tc>
        <w:tc>
          <w:tcPr>
            <w:tcW w:type="dxa" w:w="1083"/>
            <w:vAlign w:val="center"/>
          </w:tcPr>
          <w:p>
            <w:r>
              <w:rPr>
                <w:sz w:val="16"/>
              </w:rPr>
              <w:t>0.611</w:t>
            </w:r>
          </w:p>
        </w:tc>
        <w:tc>
          <w:tcPr>
            <w:tcW w:type="dxa" w:w="1083"/>
            <w:vAlign w:val="center"/>
          </w:tcPr>
          <w:p>
            <w:r>
              <w:rPr>
                <w:sz w:val="16"/>
              </w:rPr>
              <w:t>-0.009</w:t>
            </w:r>
          </w:p>
        </w:tc>
        <w:tc>
          <w:tcPr>
            <w:tcW w:type="dxa" w:w="1083"/>
            <w:vAlign w:val="center"/>
          </w:tcPr>
          <w:p>
            <w:r>
              <w:rPr>
                <w:sz w:val="16"/>
              </w:rPr>
              <w:t>-0.034 to 0.015</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AUROC</w:t>
            </w:r>
          </w:p>
        </w:tc>
        <w:tc>
          <w:tcPr>
            <w:tcW w:type="dxa" w:w="1083"/>
            <w:vAlign w:val="center"/>
          </w:tcPr>
          <w:p>
            <w:r>
              <w:rPr>
                <w:sz w:val="16"/>
              </w:rPr>
              <w:t>0.615</w:t>
            </w:r>
          </w:p>
        </w:tc>
        <w:tc>
          <w:tcPr>
            <w:tcW w:type="dxa" w:w="1083"/>
            <w:vAlign w:val="center"/>
          </w:tcPr>
          <w:p>
            <w:r>
              <w:rPr>
                <w:sz w:val="16"/>
              </w:rPr>
              <w:t>0.597</w:t>
            </w:r>
          </w:p>
        </w:tc>
        <w:tc>
          <w:tcPr>
            <w:tcW w:type="dxa" w:w="1083"/>
            <w:vAlign w:val="center"/>
          </w:tcPr>
          <w:p>
            <w:r>
              <w:rPr>
                <w:sz w:val="16"/>
              </w:rPr>
              <w:t>-0.018</w:t>
            </w:r>
          </w:p>
        </w:tc>
        <w:tc>
          <w:tcPr>
            <w:tcW w:type="dxa" w:w="1083"/>
            <w:vAlign w:val="center"/>
          </w:tcPr>
          <w:p>
            <w:r>
              <w:rPr>
                <w:sz w:val="16"/>
              </w:rPr>
              <w:t>-0.072 to 0.038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AUROC</w:t>
            </w:r>
          </w:p>
        </w:tc>
        <w:tc>
          <w:tcPr>
            <w:tcW w:type="dxa" w:w="1083"/>
            <w:vAlign w:val="center"/>
          </w:tcPr>
          <w:p>
            <w:r>
              <w:rPr>
                <w:sz w:val="16"/>
              </w:rPr>
              <w:t>0.598</w:t>
            </w:r>
          </w:p>
        </w:tc>
        <w:tc>
          <w:tcPr>
            <w:tcW w:type="dxa" w:w="1083"/>
            <w:vAlign w:val="center"/>
          </w:tcPr>
          <w:p>
            <w:r>
              <w:rPr>
                <w:sz w:val="16"/>
              </w:rPr>
              <w:t>0.598</w:t>
            </w:r>
          </w:p>
        </w:tc>
        <w:tc>
          <w:tcPr>
            <w:tcW w:type="dxa" w:w="1083"/>
            <w:vAlign w:val="center"/>
          </w:tcPr>
          <w:p>
            <w:r>
              <w:rPr>
                <w:sz w:val="16"/>
              </w:rPr>
              <w:t>0.000</w:t>
            </w:r>
          </w:p>
        </w:tc>
        <w:tc>
          <w:tcPr>
            <w:tcW w:type="dxa" w:w="1083"/>
            <w:vAlign w:val="center"/>
          </w:tcPr>
          <w:p>
            <w:r>
              <w:rPr>
                <w:sz w:val="16"/>
              </w:rPr>
              <w:t>-0.030 to 0.030</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AUROC</w:t>
            </w:r>
          </w:p>
        </w:tc>
        <w:tc>
          <w:tcPr>
            <w:tcW w:type="dxa" w:w="1083"/>
            <w:vAlign w:val="center"/>
          </w:tcPr>
          <w:p>
            <w:r>
              <w:rPr>
                <w:sz w:val="16"/>
              </w:rPr>
              <w:t>0.590</w:t>
            </w:r>
          </w:p>
        </w:tc>
        <w:tc>
          <w:tcPr>
            <w:tcW w:type="dxa" w:w="1083"/>
            <w:vAlign w:val="center"/>
          </w:tcPr>
          <w:p>
            <w:r>
              <w:rPr>
                <w:sz w:val="16"/>
              </w:rPr>
              <w:t>0.600</w:t>
            </w:r>
          </w:p>
        </w:tc>
        <w:tc>
          <w:tcPr>
            <w:tcW w:type="dxa" w:w="1083"/>
            <w:vAlign w:val="center"/>
          </w:tcPr>
          <w:p>
            <w:r>
              <w:rPr>
                <w:sz w:val="16"/>
              </w:rPr>
              <w:t>0.010</w:t>
            </w:r>
          </w:p>
        </w:tc>
        <w:tc>
          <w:tcPr>
            <w:tcW w:type="dxa" w:w="1083"/>
            <w:vAlign w:val="center"/>
          </w:tcPr>
          <w:p>
            <w:r>
              <w:rPr>
                <w:sz w:val="16"/>
              </w:rPr>
              <w:t>-0.030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AUROC</w:t>
            </w:r>
          </w:p>
        </w:tc>
        <w:tc>
          <w:tcPr>
            <w:tcW w:type="dxa" w:w="1083"/>
            <w:vAlign w:val="center"/>
          </w:tcPr>
          <w:p>
            <w:r>
              <w:rPr>
                <w:sz w:val="16"/>
              </w:rPr>
              <w:t>0.573</w:t>
            </w:r>
          </w:p>
        </w:tc>
        <w:tc>
          <w:tcPr>
            <w:tcW w:type="dxa" w:w="1083"/>
            <w:vAlign w:val="center"/>
          </w:tcPr>
          <w:p>
            <w:r>
              <w:rPr>
                <w:sz w:val="16"/>
              </w:rPr>
              <w:t>0.573</w:t>
            </w:r>
          </w:p>
        </w:tc>
        <w:tc>
          <w:tcPr>
            <w:tcW w:type="dxa" w:w="1083"/>
            <w:vAlign w:val="center"/>
          </w:tcPr>
          <w:p>
            <w:r>
              <w:rPr>
                <w:sz w:val="16"/>
              </w:rPr>
              <w:t>-0.000</w:t>
            </w:r>
          </w:p>
        </w:tc>
        <w:tc>
          <w:tcPr>
            <w:tcW w:type="dxa" w:w="1083"/>
            <w:vAlign w:val="center"/>
          </w:tcPr>
          <w:p>
            <w:r>
              <w:rPr>
                <w:sz w:val="16"/>
              </w:rPr>
              <w:t>-0.019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AUROC</w:t>
            </w:r>
          </w:p>
        </w:tc>
        <w:tc>
          <w:tcPr>
            <w:tcW w:type="dxa" w:w="1083"/>
            <w:vAlign w:val="center"/>
          </w:tcPr>
          <w:p>
            <w:r>
              <w:rPr>
                <w:sz w:val="16"/>
              </w:rPr>
              <w:t>0.566</w:t>
            </w:r>
          </w:p>
        </w:tc>
        <w:tc>
          <w:tcPr>
            <w:tcW w:type="dxa" w:w="1083"/>
            <w:vAlign w:val="center"/>
          </w:tcPr>
          <w:p>
            <w:r>
              <w:rPr>
                <w:sz w:val="16"/>
              </w:rPr>
              <w:t>0.560</w:t>
            </w:r>
          </w:p>
        </w:tc>
        <w:tc>
          <w:tcPr>
            <w:tcW w:type="dxa" w:w="1083"/>
            <w:vAlign w:val="center"/>
          </w:tcPr>
          <w:p>
            <w:r>
              <w:rPr>
                <w:sz w:val="16"/>
              </w:rPr>
              <w:t>-0.005</w:t>
            </w:r>
          </w:p>
        </w:tc>
        <w:tc>
          <w:tcPr>
            <w:tcW w:type="dxa" w:w="1083"/>
            <w:vAlign w:val="center"/>
          </w:tcPr>
          <w:p>
            <w:r>
              <w:rPr>
                <w:sz w:val="16"/>
              </w:rPr>
              <w:t>-0.073 to 0.056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AUROC</w:t>
            </w:r>
          </w:p>
        </w:tc>
        <w:tc>
          <w:tcPr>
            <w:tcW w:type="dxa" w:w="1083"/>
            <w:vAlign w:val="center"/>
          </w:tcPr>
          <w:p>
            <w:r>
              <w:rPr>
                <w:sz w:val="16"/>
              </w:rPr>
              <w:t>0.559</w:t>
            </w:r>
          </w:p>
        </w:tc>
        <w:tc>
          <w:tcPr>
            <w:tcW w:type="dxa" w:w="1083"/>
            <w:vAlign w:val="center"/>
          </w:tcPr>
          <w:p>
            <w:r>
              <w:rPr>
                <w:sz w:val="16"/>
              </w:rPr>
              <w:t>0.563</w:t>
            </w:r>
          </w:p>
        </w:tc>
        <w:tc>
          <w:tcPr>
            <w:tcW w:type="dxa" w:w="1083"/>
            <w:vAlign w:val="center"/>
          </w:tcPr>
          <w:p>
            <w:r>
              <w:rPr>
                <w:sz w:val="16"/>
              </w:rPr>
              <w:t>0.005</w:t>
            </w:r>
          </w:p>
        </w:tc>
        <w:tc>
          <w:tcPr>
            <w:tcW w:type="dxa" w:w="1083"/>
            <w:vAlign w:val="center"/>
          </w:tcPr>
          <w:p>
            <w:r>
              <w:rPr>
                <w:sz w:val="16"/>
              </w:rPr>
              <w:t>-0.024 to 0.032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AUROC</w:t>
            </w:r>
          </w:p>
        </w:tc>
        <w:tc>
          <w:tcPr>
            <w:tcW w:type="dxa" w:w="1083"/>
            <w:vAlign w:val="center"/>
          </w:tcPr>
          <w:p>
            <w:r>
              <w:rPr>
                <w:sz w:val="16"/>
              </w:rPr>
              <w:t>0.555</w:t>
            </w:r>
          </w:p>
        </w:tc>
        <w:tc>
          <w:tcPr>
            <w:tcW w:type="dxa" w:w="1083"/>
            <w:vAlign w:val="center"/>
          </w:tcPr>
          <w:p>
            <w:r>
              <w:rPr>
                <w:sz w:val="16"/>
              </w:rPr>
              <w:t>0.583</w:t>
            </w:r>
          </w:p>
        </w:tc>
        <w:tc>
          <w:tcPr>
            <w:tcW w:type="dxa" w:w="1083"/>
            <w:vAlign w:val="center"/>
          </w:tcPr>
          <w:p>
            <w:r>
              <w:rPr>
                <w:sz w:val="16"/>
              </w:rPr>
              <w:t>0.028</w:t>
            </w:r>
          </w:p>
        </w:tc>
        <w:tc>
          <w:tcPr>
            <w:tcW w:type="dxa" w:w="1083"/>
            <w:vAlign w:val="center"/>
          </w:tcPr>
          <w:p>
            <w:r>
              <w:rPr>
                <w:sz w:val="16"/>
              </w:rPr>
              <w:t>0.003 to 0.057</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AUROC</w:t>
            </w:r>
          </w:p>
        </w:tc>
        <w:tc>
          <w:tcPr>
            <w:tcW w:type="dxa" w:w="1083"/>
            <w:vAlign w:val="center"/>
          </w:tcPr>
          <w:p>
            <w:r>
              <w:rPr>
                <w:sz w:val="16"/>
              </w:rPr>
              <w:t>0.543</w:t>
            </w:r>
          </w:p>
        </w:tc>
        <w:tc>
          <w:tcPr>
            <w:tcW w:type="dxa" w:w="1083"/>
            <w:vAlign w:val="center"/>
          </w:tcPr>
          <w:p>
            <w:r>
              <w:rPr>
                <w:sz w:val="16"/>
              </w:rPr>
              <w:t>0.555</w:t>
            </w:r>
          </w:p>
        </w:tc>
        <w:tc>
          <w:tcPr>
            <w:tcW w:type="dxa" w:w="1083"/>
            <w:vAlign w:val="center"/>
          </w:tcPr>
          <w:p>
            <w:r>
              <w:rPr>
                <w:sz w:val="16"/>
              </w:rPr>
              <w:t>0.012</w:t>
            </w:r>
          </w:p>
        </w:tc>
        <w:tc>
          <w:tcPr>
            <w:tcW w:type="dxa" w:w="1083"/>
            <w:vAlign w:val="center"/>
          </w:tcPr>
          <w:p>
            <w:r>
              <w:rPr>
                <w:sz w:val="16"/>
              </w:rPr>
              <w:t>-0.032 to 0.060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AUROC</w:t>
            </w:r>
          </w:p>
        </w:tc>
        <w:tc>
          <w:tcPr>
            <w:tcW w:type="dxa" w:w="1083"/>
            <w:vAlign w:val="center"/>
          </w:tcPr>
          <w:p>
            <w:r>
              <w:rPr>
                <w:sz w:val="16"/>
              </w:rPr>
              <w:t>0.540</w:t>
            </w:r>
          </w:p>
        </w:tc>
        <w:tc>
          <w:tcPr>
            <w:tcW w:type="dxa" w:w="1083"/>
            <w:vAlign w:val="center"/>
          </w:tcPr>
          <w:p>
            <w:r>
              <w:rPr>
                <w:sz w:val="16"/>
              </w:rPr>
              <w:t>0.606</w:t>
            </w:r>
          </w:p>
        </w:tc>
        <w:tc>
          <w:tcPr>
            <w:tcW w:type="dxa" w:w="1083"/>
            <w:vAlign w:val="center"/>
          </w:tcPr>
          <w:p>
            <w:r>
              <w:rPr>
                <w:sz w:val="16"/>
              </w:rPr>
              <w:t>0.066</w:t>
            </w:r>
          </w:p>
        </w:tc>
        <w:tc>
          <w:tcPr>
            <w:tcW w:type="dxa" w:w="1083"/>
            <w:vAlign w:val="center"/>
          </w:tcPr>
          <w:p>
            <w:r>
              <w:rPr>
                <w:sz w:val="16"/>
              </w:rPr>
              <w:t>-0.005 to 0.137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AUROC</w:t>
            </w:r>
          </w:p>
        </w:tc>
        <w:tc>
          <w:tcPr>
            <w:tcW w:type="dxa" w:w="1083"/>
            <w:vAlign w:val="center"/>
          </w:tcPr>
          <w:p>
            <w:r>
              <w:rPr>
                <w:sz w:val="16"/>
              </w:rPr>
              <w:t>0.534</w:t>
            </w:r>
          </w:p>
        </w:tc>
        <w:tc>
          <w:tcPr>
            <w:tcW w:type="dxa" w:w="1083"/>
            <w:vAlign w:val="center"/>
          </w:tcPr>
          <w:p>
            <w:r>
              <w:rPr>
                <w:sz w:val="16"/>
              </w:rPr>
              <w:t>0.530</w:t>
            </w:r>
          </w:p>
        </w:tc>
        <w:tc>
          <w:tcPr>
            <w:tcW w:type="dxa" w:w="1083"/>
            <w:vAlign w:val="center"/>
          </w:tcPr>
          <w:p>
            <w:r>
              <w:rPr>
                <w:sz w:val="16"/>
              </w:rPr>
              <w:t>-0.003</w:t>
            </w:r>
          </w:p>
        </w:tc>
        <w:tc>
          <w:tcPr>
            <w:tcW w:type="dxa" w:w="1083"/>
            <w:vAlign w:val="center"/>
          </w:tcPr>
          <w:p>
            <w:r>
              <w:rPr>
                <w:sz w:val="16"/>
              </w:rPr>
              <w:t>-0.044 to 0.038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AUROC</w:t>
            </w:r>
          </w:p>
        </w:tc>
        <w:tc>
          <w:tcPr>
            <w:tcW w:type="dxa" w:w="1083"/>
            <w:vAlign w:val="center"/>
          </w:tcPr>
          <w:p>
            <w:r>
              <w:rPr>
                <w:sz w:val="16"/>
              </w:rPr>
              <w:t>0.522</w:t>
            </w:r>
          </w:p>
        </w:tc>
        <w:tc>
          <w:tcPr>
            <w:tcW w:type="dxa" w:w="1083"/>
            <w:vAlign w:val="center"/>
          </w:tcPr>
          <w:p>
            <w:r>
              <w:rPr>
                <w:sz w:val="16"/>
              </w:rPr>
              <w:t>0.537</w:t>
            </w:r>
          </w:p>
        </w:tc>
        <w:tc>
          <w:tcPr>
            <w:tcW w:type="dxa" w:w="1083"/>
            <w:vAlign w:val="center"/>
          </w:tcPr>
          <w:p>
            <w:r>
              <w:rPr>
                <w:sz w:val="16"/>
              </w:rPr>
              <w:t>0.015</w:t>
            </w:r>
          </w:p>
        </w:tc>
        <w:tc>
          <w:tcPr>
            <w:tcW w:type="dxa" w:w="1083"/>
            <w:vAlign w:val="center"/>
          </w:tcPr>
          <w:p>
            <w:r>
              <w:rPr>
                <w:sz w:val="16"/>
              </w:rPr>
              <w:t>-0.005 to 0.036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AUROC</w:t>
            </w:r>
          </w:p>
        </w:tc>
        <w:tc>
          <w:tcPr>
            <w:tcW w:type="dxa" w:w="1083"/>
            <w:vAlign w:val="center"/>
          </w:tcPr>
          <w:p>
            <w:r>
              <w:rPr>
                <w:sz w:val="16"/>
              </w:rPr>
              <w:t>0.492</w:t>
            </w:r>
          </w:p>
        </w:tc>
        <w:tc>
          <w:tcPr>
            <w:tcW w:type="dxa" w:w="1083"/>
            <w:vAlign w:val="center"/>
          </w:tcPr>
          <w:p>
            <w:r>
              <w:rPr>
                <w:sz w:val="16"/>
              </w:rPr>
              <w:t>0.547</w:t>
            </w:r>
          </w:p>
        </w:tc>
        <w:tc>
          <w:tcPr>
            <w:tcW w:type="dxa" w:w="1083"/>
            <w:vAlign w:val="center"/>
          </w:tcPr>
          <w:p>
            <w:r>
              <w:rPr>
                <w:sz w:val="16"/>
              </w:rPr>
              <w:t>0.056</w:t>
            </w:r>
          </w:p>
        </w:tc>
        <w:tc>
          <w:tcPr>
            <w:tcW w:type="dxa" w:w="1083"/>
            <w:vAlign w:val="center"/>
          </w:tcPr>
          <w:p>
            <w:r>
              <w:rPr>
                <w:sz w:val="16"/>
              </w:rPr>
              <w:t>0.004 to 0.108</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AUROC</w:t>
            </w:r>
          </w:p>
        </w:tc>
        <w:tc>
          <w:tcPr>
            <w:tcW w:type="dxa" w:w="1083"/>
            <w:vAlign w:val="center"/>
          </w:tcPr>
          <w:p>
            <w:r>
              <w:rPr>
                <w:sz w:val="16"/>
              </w:rPr>
              <w:t>0.489</w:t>
            </w:r>
          </w:p>
        </w:tc>
        <w:tc>
          <w:tcPr>
            <w:tcW w:type="dxa" w:w="1083"/>
            <w:vAlign w:val="center"/>
          </w:tcPr>
          <w:p>
            <w:r>
              <w:rPr>
                <w:sz w:val="16"/>
              </w:rPr>
              <w:t>0.497</w:t>
            </w:r>
          </w:p>
        </w:tc>
        <w:tc>
          <w:tcPr>
            <w:tcW w:type="dxa" w:w="1083"/>
            <w:vAlign w:val="center"/>
          </w:tcPr>
          <w:p>
            <w:r>
              <w:rPr>
                <w:sz w:val="16"/>
              </w:rPr>
              <w:t>0.008</w:t>
            </w:r>
          </w:p>
        </w:tc>
        <w:tc>
          <w:tcPr>
            <w:tcW w:type="dxa" w:w="1083"/>
            <w:vAlign w:val="center"/>
          </w:tcPr>
          <w:p>
            <w:r>
              <w:rPr>
                <w:sz w:val="16"/>
              </w:rPr>
              <w:t>-0.088 to 0.098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AUROC</w:t>
            </w:r>
          </w:p>
        </w:tc>
        <w:tc>
          <w:tcPr>
            <w:tcW w:type="dxa" w:w="1083"/>
            <w:vAlign w:val="center"/>
          </w:tcPr>
          <w:p>
            <w:r>
              <w:rPr>
                <w:sz w:val="16"/>
              </w:rPr>
              <w:t>0.482</w:t>
            </w:r>
          </w:p>
        </w:tc>
        <w:tc>
          <w:tcPr>
            <w:tcW w:type="dxa" w:w="1083"/>
            <w:vAlign w:val="center"/>
          </w:tcPr>
          <w:p>
            <w:r>
              <w:rPr>
                <w:sz w:val="16"/>
              </w:rPr>
              <w:t>0.476</w:t>
            </w:r>
          </w:p>
        </w:tc>
        <w:tc>
          <w:tcPr>
            <w:tcW w:type="dxa" w:w="1083"/>
            <w:vAlign w:val="center"/>
          </w:tcPr>
          <w:p>
            <w:r>
              <w:rPr>
                <w:sz w:val="16"/>
              </w:rPr>
              <w:t>-0.006</w:t>
            </w:r>
          </w:p>
        </w:tc>
        <w:tc>
          <w:tcPr>
            <w:tcW w:type="dxa" w:w="1083"/>
            <w:vAlign w:val="center"/>
          </w:tcPr>
          <w:p>
            <w:r>
              <w:rPr>
                <w:sz w:val="16"/>
              </w:rPr>
              <w:t>-0.080 to 0.070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AUROC</w:t>
            </w:r>
          </w:p>
        </w:tc>
        <w:tc>
          <w:tcPr>
            <w:tcW w:type="dxa" w:w="1083"/>
            <w:vAlign w:val="center"/>
          </w:tcPr>
          <w:p>
            <w:r>
              <w:rPr>
                <w:sz w:val="16"/>
              </w:rPr>
              <w:t>0.459</w:t>
            </w:r>
          </w:p>
        </w:tc>
        <w:tc>
          <w:tcPr>
            <w:tcW w:type="dxa" w:w="1083"/>
            <w:vAlign w:val="center"/>
          </w:tcPr>
          <w:p>
            <w:r>
              <w:rPr>
                <w:sz w:val="16"/>
              </w:rPr>
              <w:t>0.477</w:t>
            </w:r>
          </w:p>
        </w:tc>
        <w:tc>
          <w:tcPr>
            <w:tcW w:type="dxa" w:w="1083"/>
            <w:vAlign w:val="center"/>
          </w:tcPr>
          <w:p>
            <w:r>
              <w:rPr>
                <w:sz w:val="16"/>
              </w:rPr>
              <w:t>0.017</w:t>
            </w:r>
          </w:p>
        </w:tc>
        <w:tc>
          <w:tcPr>
            <w:tcW w:type="dxa" w:w="1083"/>
            <w:vAlign w:val="center"/>
          </w:tcPr>
          <w:p>
            <w:r>
              <w:rPr>
                <w:sz w:val="16"/>
              </w:rPr>
              <w:t>-0.035 to 0.070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AUROC</w:t>
            </w:r>
          </w:p>
        </w:tc>
        <w:tc>
          <w:tcPr>
            <w:tcW w:type="dxa" w:w="1083"/>
            <w:vAlign w:val="center"/>
          </w:tcPr>
          <w:p>
            <w:r>
              <w:rPr>
                <w:sz w:val="16"/>
              </w:rPr>
              <w:t>0.430</w:t>
            </w:r>
          </w:p>
        </w:tc>
        <w:tc>
          <w:tcPr>
            <w:tcW w:type="dxa" w:w="1083"/>
            <w:vAlign w:val="center"/>
          </w:tcPr>
          <w:p>
            <w:r>
              <w:rPr>
                <w:sz w:val="16"/>
              </w:rPr>
              <w:t>0.424</w:t>
            </w:r>
          </w:p>
        </w:tc>
        <w:tc>
          <w:tcPr>
            <w:tcW w:type="dxa" w:w="1083"/>
            <w:vAlign w:val="center"/>
          </w:tcPr>
          <w:p>
            <w:r>
              <w:rPr>
                <w:sz w:val="16"/>
              </w:rPr>
              <w:t>-0.006</w:t>
            </w:r>
          </w:p>
        </w:tc>
        <w:tc>
          <w:tcPr>
            <w:tcW w:type="dxa" w:w="1083"/>
            <w:vAlign w:val="center"/>
          </w:tcPr>
          <w:p>
            <w:r>
              <w:rPr>
                <w:sz w:val="16"/>
              </w:rPr>
              <w:t>-0.052 to 0.037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Q²</w:t>
            </w:r>
          </w:p>
        </w:tc>
        <w:tc>
          <w:tcPr>
            <w:tcW w:type="dxa" w:w="1083"/>
            <w:vAlign w:val="center"/>
          </w:tcPr>
          <w:p>
            <w:r>
              <w:rPr>
                <w:sz w:val="16"/>
              </w:rPr>
              <w:t>0.345</w:t>
            </w:r>
          </w:p>
        </w:tc>
        <w:tc>
          <w:tcPr>
            <w:tcW w:type="dxa" w:w="1083"/>
            <w:vAlign w:val="center"/>
          </w:tcPr>
          <w:p>
            <w:r>
              <w:rPr>
                <w:sz w:val="16"/>
              </w:rPr>
              <w:t>0.368</w:t>
            </w:r>
          </w:p>
        </w:tc>
        <w:tc>
          <w:tcPr>
            <w:tcW w:type="dxa" w:w="1083"/>
            <w:vAlign w:val="center"/>
          </w:tcPr>
          <w:p>
            <w:r>
              <w:rPr>
                <w:sz w:val="16"/>
              </w:rPr>
              <w:t>0.023</w:t>
            </w:r>
          </w:p>
        </w:tc>
        <w:tc>
          <w:tcPr>
            <w:tcW w:type="dxa" w:w="1083"/>
            <w:vAlign w:val="center"/>
          </w:tcPr>
          <w:p>
            <w:r>
              <w:rPr>
                <w:sz w:val="16"/>
              </w:rPr>
              <w:t>0.003 to 0.046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Q²</w:t>
            </w:r>
          </w:p>
        </w:tc>
        <w:tc>
          <w:tcPr>
            <w:tcW w:type="dxa" w:w="1083"/>
            <w:vAlign w:val="center"/>
          </w:tcPr>
          <w:p>
            <w:r>
              <w:rPr>
                <w:sz w:val="16"/>
              </w:rPr>
              <w:t>0.222</w:t>
            </w:r>
          </w:p>
        </w:tc>
        <w:tc>
          <w:tcPr>
            <w:tcW w:type="dxa" w:w="1083"/>
            <w:vAlign w:val="center"/>
          </w:tcPr>
          <w:p>
            <w:r>
              <w:rPr>
                <w:sz w:val="16"/>
              </w:rPr>
              <w:t>0.270</w:t>
            </w:r>
          </w:p>
        </w:tc>
        <w:tc>
          <w:tcPr>
            <w:tcW w:type="dxa" w:w="1083"/>
            <w:vAlign w:val="center"/>
          </w:tcPr>
          <w:p>
            <w:r>
              <w:rPr>
                <w:sz w:val="16"/>
              </w:rPr>
              <w:t>0.048</w:t>
            </w:r>
          </w:p>
        </w:tc>
        <w:tc>
          <w:tcPr>
            <w:tcW w:type="dxa" w:w="1083"/>
            <w:vAlign w:val="center"/>
          </w:tcPr>
          <w:p>
            <w:r>
              <w:rPr>
                <w:sz w:val="16"/>
              </w:rPr>
              <w:t>0.027 to 0.071</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Q²</w:t>
            </w:r>
          </w:p>
        </w:tc>
        <w:tc>
          <w:tcPr>
            <w:tcW w:type="dxa" w:w="1083"/>
            <w:vAlign w:val="center"/>
          </w:tcPr>
          <w:p>
            <w:r>
              <w:rPr>
                <w:sz w:val="16"/>
              </w:rPr>
              <w:t>0.219</w:t>
            </w:r>
          </w:p>
        </w:tc>
        <w:tc>
          <w:tcPr>
            <w:tcW w:type="dxa" w:w="1083"/>
            <w:vAlign w:val="center"/>
          </w:tcPr>
          <w:p>
            <w:r>
              <w:rPr>
                <w:sz w:val="16"/>
              </w:rPr>
              <w:t>0.211</w:t>
            </w:r>
          </w:p>
        </w:tc>
        <w:tc>
          <w:tcPr>
            <w:tcW w:type="dxa" w:w="1083"/>
            <w:vAlign w:val="center"/>
          </w:tcPr>
          <w:p>
            <w:r>
              <w:rPr>
                <w:sz w:val="16"/>
              </w:rPr>
              <w:t>-0.008</w:t>
            </w:r>
          </w:p>
        </w:tc>
        <w:tc>
          <w:tcPr>
            <w:tcW w:type="dxa" w:w="1083"/>
            <w:vAlign w:val="center"/>
          </w:tcPr>
          <w:p>
            <w:r>
              <w:rPr>
                <w:sz w:val="16"/>
              </w:rPr>
              <w:t>-0.025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Q²</w:t>
            </w:r>
          </w:p>
        </w:tc>
        <w:tc>
          <w:tcPr>
            <w:tcW w:type="dxa" w:w="1083"/>
            <w:vAlign w:val="center"/>
          </w:tcPr>
          <w:p>
            <w:r>
              <w:rPr>
                <w:sz w:val="16"/>
              </w:rPr>
              <w:t>0.195</w:t>
            </w:r>
          </w:p>
        </w:tc>
        <w:tc>
          <w:tcPr>
            <w:tcW w:type="dxa" w:w="1083"/>
            <w:vAlign w:val="center"/>
          </w:tcPr>
          <w:p>
            <w:r>
              <w:rPr>
                <w:sz w:val="16"/>
              </w:rPr>
              <w:t>0.258</w:t>
            </w:r>
          </w:p>
        </w:tc>
        <w:tc>
          <w:tcPr>
            <w:tcW w:type="dxa" w:w="1083"/>
            <w:vAlign w:val="center"/>
          </w:tcPr>
          <w:p>
            <w:r>
              <w:rPr>
                <w:sz w:val="16"/>
              </w:rPr>
              <w:t>0.064</w:t>
            </w:r>
          </w:p>
        </w:tc>
        <w:tc>
          <w:tcPr>
            <w:tcW w:type="dxa" w:w="1083"/>
            <w:vAlign w:val="center"/>
          </w:tcPr>
          <w:p>
            <w:r>
              <w:rPr>
                <w:sz w:val="16"/>
              </w:rPr>
              <w:t>0.030 to 0.106</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Q²</w:t>
            </w:r>
          </w:p>
        </w:tc>
        <w:tc>
          <w:tcPr>
            <w:tcW w:type="dxa" w:w="1083"/>
            <w:vAlign w:val="center"/>
          </w:tcPr>
          <w:p>
            <w:r>
              <w:rPr>
                <w:sz w:val="16"/>
              </w:rPr>
              <w:t>0.175</w:t>
            </w:r>
          </w:p>
        </w:tc>
        <w:tc>
          <w:tcPr>
            <w:tcW w:type="dxa" w:w="1083"/>
            <w:vAlign w:val="center"/>
          </w:tcPr>
          <w:p>
            <w:r>
              <w:rPr>
                <w:sz w:val="16"/>
              </w:rPr>
              <w:t>0.208</w:t>
            </w:r>
          </w:p>
        </w:tc>
        <w:tc>
          <w:tcPr>
            <w:tcW w:type="dxa" w:w="1083"/>
            <w:vAlign w:val="center"/>
          </w:tcPr>
          <w:p>
            <w:r>
              <w:rPr>
                <w:sz w:val="16"/>
              </w:rPr>
              <w:t>0.033</w:t>
            </w:r>
          </w:p>
        </w:tc>
        <w:tc>
          <w:tcPr>
            <w:tcW w:type="dxa" w:w="1083"/>
            <w:vAlign w:val="center"/>
          </w:tcPr>
          <w:p>
            <w:r>
              <w:rPr>
                <w:sz w:val="16"/>
              </w:rPr>
              <w:t>0.007 to 0.061</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Q²</w:t>
            </w:r>
          </w:p>
        </w:tc>
        <w:tc>
          <w:tcPr>
            <w:tcW w:type="dxa" w:w="1083"/>
            <w:vAlign w:val="center"/>
          </w:tcPr>
          <w:p>
            <w:r>
              <w:rPr>
                <w:sz w:val="16"/>
              </w:rPr>
              <w:t>0.018</w:t>
            </w:r>
          </w:p>
        </w:tc>
        <w:tc>
          <w:tcPr>
            <w:tcW w:type="dxa" w:w="1083"/>
            <w:vAlign w:val="center"/>
          </w:tcPr>
          <w:p>
            <w:r>
              <w:rPr>
                <w:sz w:val="16"/>
              </w:rPr>
              <w:t>0.042</w:t>
            </w:r>
          </w:p>
        </w:tc>
        <w:tc>
          <w:tcPr>
            <w:tcW w:type="dxa" w:w="1083"/>
            <w:vAlign w:val="center"/>
          </w:tcPr>
          <w:p>
            <w:r>
              <w:rPr>
                <w:sz w:val="16"/>
              </w:rPr>
              <w:t>0.024</w:t>
            </w:r>
          </w:p>
        </w:tc>
        <w:tc>
          <w:tcPr>
            <w:tcW w:type="dxa" w:w="1083"/>
            <w:vAlign w:val="center"/>
          </w:tcPr>
          <w:p>
            <w:r>
              <w:rPr>
                <w:sz w:val="16"/>
              </w:rPr>
              <w:t>-0.014 to 0.068</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Q²</w:t>
            </w:r>
          </w:p>
        </w:tc>
        <w:tc>
          <w:tcPr>
            <w:tcW w:type="dxa" w:w="1083"/>
            <w:vAlign w:val="center"/>
          </w:tcPr>
          <w:p>
            <w:r>
              <w:rPr>
                <w:sz w:val="16"/>
              </w:rPr>
              <w:t>-0.042</w:t>
            </w:r>
          </w:p>
        </w:tc>
        <w:tc>
          <w:tcPr>
            <w:tcW w:type="dxa" w:w="1083"/>
            <w:vAlign w:val="center"/>
          </w:tcPr>
          <w:p>
            <w:r>
              <w:rPr>
                <w:sz w:val="16"/>
              </w:rPr>
              <w:t>-0.007</w:t>
            </w:r>
          </w:p>
        </w:tc>
        <w:tc>
          <w:tcPr>
            <w:tcW w:type="dxa" w:w="1083"/>
            <w:vAlign w:val="center"/>
          </w:tcPr>
          <w:p>
            <w:r>
              <w:rPr>
                <w:sz w:val="16"/>
              </w:rPr>
              <w:t>0.035</w:t>
            </w:r>
          </w:p>
        </w:tc>
        <w:tc>
          <w:tcPr>
            <w:tcW w:type="dxa" w:w="1083"/>
            <w:vAlign w:val="center"/>
          </w:tcPr>
          <w:p>
            <w:r>
              <w:rPr>
                <w:sz w:val="16"/>
              </w:rPr>
              <w:t>0.015 to 0.618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Q²</w:t>
            </w:r>
          </w:p>
        </w:tc>
        <w:tc>
          <w:tcPr>
            <w:tcW w:type="dxa" w:w="1083"/>
            <w:vAlign w:val="center"/>
          </w:tcPr>
          <w:p>
            <w:r>
              <w:rPr>
                <w:sz w:val="16"/>
              </w:rPr>
              <w:t>-0.070</w:t>
            </w:r>
          </w:p>
        </w:tc>
        <w:tc>
          <w:tcPr>
            <w:tcW w:type="dxa" w:w="1083"/>
            <w:vAlign w:val="center"/>
          </w:tcPr>
          <w:p>
            <w:r>
              <w:rPr>
                <w:sz w:val="16"/>
              </w:rPr>
              <w:t>-0.011</w:t>
            </w:r>
          </w:p>
        </w:tc>
        <w:tc>
          <w:tcPr>
            <w:tcW w:type="dxa" w:w="1083"/>
            <w:vAlign w:val="center"/>
          </w:tcPr>
          <w:p>
            <w:r>
              <w:rPr>
                <w:sz w:val="16"/>
              </w:rPr>
              <w:t>0.058</w:t>
            </w:r>
          </w:p>
        </w:tc>
        <w:tc>
          <w:tcPr>
            <w:tcW w:type="dxa" w:w="1083"/>
            <w:vAlign w:val="center"/>
          </w:tcPr>
          <w:p>
            <w:r>
              <w:rPr>
                <w:sz w:val="16"/>
              </w:rPr>
              <w:t>0.020 to 0.103</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Q²</w:t>
            </w:r>
          </w:p>
        </w:tc>
        <w:tc>
          <w:tcPr>
            <w:tcW w:type="dxa" w:w="1083"/>
            <w:vAlign w:val="center"/>
          </w:tcPr>
          <w:p>
            <w:r>
              <w:rPr>
                <w:sz w:val="16"/>
              </w:rPr>
              <w:t>-0.118</w:t>
            </w:r>
          </w:p>
        </w:tc>
        <w:tc>
          <w:tcPr>
            <w:tcW w:type="dxa" w:w="1083"/>
            <w:vAlign w:val="center"/>
          </w:tcPr>
          <w:p>
            <w:r>
              <w:rPr>
                <w:sz w:val="16"/>
              </w:rPr>
              <w:t>-0.030</w:t>
            </w:r>
          </w:p>
        </w:tc>
        <w:tc>
          <w:tcPr>
            <w:tcW w:type="dxa" w:w="1083"/>
            <w:vAlign w:val="center"/>
          </w:tcPr>
          <w:p>
            <w:r>
              <w:rPr>
                <w:sz w:val="16"/>
              </w:rPr>
              <w:t>0.088</w:t>
            </w:r>
          </w:p>
        </w:tc>
        <w:tc>
          <w:tcPr>
            <w:tcW w:type="dxa" w:w="1083"/>
            <w:vAlign w:val="center"/>
          </w:tcPr>
          <w:p>
            <w:r>
              <w:rPr>
                <w:sz w:val="16"/>
              </w:rPr>
              <w:t>0.013 to 0.177</w:t>
            </w:r>
          </w:p>
        </w:tc>
        <w:tc>
          <w:tcPr>
            <w:tcW w:type="dxa" w:w="1083"/>
            <w:vAlign w:val="center"/>
          </w:tcPr>
          <w:p>
            <w:r>
              <w:rPr>
                <w:sz w:val="16"/>
              </w:rPr>
              <w:t>ridge</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Q²</w:t>
            </w:r>
          </w:p>
        </w:tc>
        <w:tc>
          <w:tcPr>
            <w:tcW w:type="dxa" w:w="1083"/>
            <w:vAlign w:val="center"/>
          </w:tcPr>
          <w:p>
            <w:r>
              <w:rPr>
                <w:sz w:val="16"/>
              </w:rPr>
              <w:t>-0.343</w:t>
            </w:r>
          </w:p>
        </w:tc>
        <w:tc>
          <w:tcPr>
            <w:tcW w:type="dxa" w:w="1083"/>
            <w:vAlign w:val="center"/>
          </w:tcPr>
          <w:p>
            <w:r>
              <w:rPr>
                <w:sz w:val="16"/>
              </w:rPr>
              <w:t>-0.063</w:t>
            </w:r>
          </w:p>
        </w:tc>
        <w:tc>
          <w:tcPr>
            <w:tcW w:type="dxa" w:w="1083"/>
            <w:vAlign w:val="center"/>
          </w:tcPr>
          <w:p>
            <w:r>
              <w:rPr>
                <w:sz w:val="16"/>
              </w:rPr>
              <w:t>0.280</w:t>
            </w:r>
          </w:p>
        </w:tc>
        <w:tc>
          <w:tcPr>
            <w:tcW w:type="dxa" w:w="1083"/>
            <w:vAlign w:val="center"/>
          </w:tcPr>
          <w:p>
            <w:r>
              <w:rPr>
                <w:sz w:val="16"/>
              </w:rPr>
              <w:t>0.086 to 1.418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Q²</w:t>
            </w:r>
          </w:p>
        </w:tc>
        <w:tc>
          <w:tcPr>
            <w:tcW w:type="dxa" w:w="1083"/>
            <w:vAlign w:val="center"/>
          </w:tcPr>
          <w:p>
            <w:r>
              <w:rPr>
                <w:sz w:val="16"/>
              </w:rPr>
              <w:t>-0.348</w:t>
            </w:r>
          </w:p>
        </w:tc>
        <w:tc>
          <w:tcPr>
            <w:tcW w:type="dxa" w:w="1083"/>
            <w:vAlign w:val="center"/>
          </w:tcPr>
          <w:p>
            <w:r>
              <w:rPr>
                <w:sz w:val="16"/>
              </w:rPr>
              <w:t>-0.059</w:t>
            </w:r>
          </w:p>
        </w:tc>
        <w:tc>
          <w:tcPr>
            <w:tcW w:type="dxa" w:w="1083"/>
            <w:vAlign w:val="center"/>
          </w:tcPr>
          <w:p>
            <w:r>
              <w:rPr>
                <w:sz w:val="16"/>
              </w:rPr>
              <w:t>0.289</w:t>
            </w:r>
          </w:p>
        </w:tc>
        <w:tc>
          <w:tcPr>
            <w:tcW w:type="dxa" w:w="1083"/>
            <w:vAlign w:val="center"/>
          </w:tcPr>
          <w:p>
            <w:r>
              <w:rPr>
                <w:sz w:val="16"/>
              </w:rPr>
              <w:t>0.123 to 0.480</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Q²</w:t>
            </w:r>
          </w:p>
        </w:tc>
        <w:tc>
          <w:tcPr>
            <w:tcW w:type="dxa" w:w="1083"/>
            <w:vAlign w:val="center"/>
          </w:tcPr>
          <w:p>
            <w:r>
              <w:rPr>
                <w:sz w:val="16"/>
              </w:rPr>
              <w:t>-0.394</w:t>
            </w:r>
          </w:p>
        </w:tc>
        <w:tc>
          <w:tcPr>
            <w:tcW w:type="dxa" w:w="1083"/>
            <w:vAlign w:val="center"/>
          </w:tcPr>
          <w:p>
            <w:r>
              <w:rPr>
                <w:sz w:val="16"/>
              </w:rPr>
              <w:t>-0.073</w:t>
            </w:r>
          </w:p>
        </w:tc>
        <w:tc>
          <w:tcPr>
            <w:tcW w:type="dxa" w:w="1083"/>
            <w:vAlign w:val="center"/>
          </w:tcPr>
          <w:p>
            <w:r>
              <w:rPr>
                <w:sz w:val="16"/>
              </w:rPr>
              <w:t>0.321</w:t>
            </w:r>
          </w:p>
        </w:tc>
        <w:tc>
          <w:tcPr>
            <w:tcW w:type="dxa" w:w="1083"/>
            <w:vAlign w:val="center"/>
          </w:tcPr>
          <w:p>
            <w:r>
              <w:rPr>
                <w:sz w:val="16"/>
              </w:rPr>
              <w:t>0.070 to 0.896</w:t>
            </w:r>
          </w:p>
        </w:tc>
        <w:tc>
          <w:tcPr>
            <w:tcW w:type="dxa" w:w="1083"/>
            <w:vAlign w:val="center"/>
          </w:tcPr>
          <w:p>
            <w:r>
              <w:rPr>
                <w:sz w:val="16"/>
              </w:rPr>
              <w:t>ridge</w:t>
            </w:r>
          </w:p>
        </w:tc>
      </w:tr>
    </w:tbl>
    <w:p/>
    <w:p>
      <w:pPr>
        <w:pStyle w:val="Caption"/>
      </w:pPr>
      <w:r>
        <w:t>Panel C. Target-level secondary metric; binary balanced accuracy uses operating thresholds selected identically for both methods.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BA</w:t>
            </w:r>
          </w:p>
        </w:tc>
        <w:tc>
          <w:tcPr>
            <w:tcW w:type="dxa" w:w="1083"/>
            <w:vAlign w:val="center"/>
          </w:tcPr>
          <w:p>
            <w:r>
              <w:rPr>
                <w:sz w:val="16"/>
              </w:rPr>
              <w:t>0.820</w:t>
            </w:r>
          </w:p>
        </w:tc>
        <w:tc>
          <w:tcPr>
            <w:tcW w:type="dxa" w:w="1083"/>
            <w:vAlign w:val="center"/>
          </w:tcPr>
          <w:p>
            <w:r>
              <w:rPr>
                <w:sz w:val="16"/>
              </w:rPr>
              <w:t>0.809</w:t>
            </w:r>
          </w:p>
        </w:tc>
        <w:tc>
          <w:tcPr>
            <w:tcW w:type="dxa" w:w="1083"/>
            <w:vAlign w:val="center"/>
          </w:tcPr>
          <w:p>
            <w:r>
              <w:rPr>
                <w:sz w:val="16"/>
              </w:rPr>
              <w:t>-0.011</w:t>
            </w:r>
          </w:p>
        </w:tc>
        <w:tc>
          <w:tcPr>
            <w:tcW w:type="dxa" w:w="1083"/>
            <w:vAlign w:val="center"/>
          </w:tcPr>
          <w:p>
            <w:r>
              <w:rPr>
                <w:sz w:val="16"/>
              </w:rPr>
              <w:t>-0.042 to 0.020</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BA</w:t>
            </w:r>
          </w:p>
        </w:tc>
        <w:tc>
          <w:tcPr>
            <w:tcW w:type="dxa" w:w="1083"/>
            <w:vAlign w:val="center"/>
          </w:tcPr>
          <w:p>
            <w:r>
              <w:rPr>
                <w:sz w:val="16"/>
              </w:rPr>
              <w:t>0.766</w:t>
            </w:r>
          </w:p>
        </w:tc>
        <w:tc>
          <w:tcPr>
            <w:tcW w:type="dxa" w:w="1083"/>
            <w:vAlign w:val="center"/>
          </w:tcPr>
          <w:p>
            <w:r>
              <w:rPr>
                <w:sz w:val="16"/>
              </w:rPr>
              <w:t>0.772</w:t>
            </w:r>
          </w:p>
        </w:tc>
        <w:tc>
          <w:tcPr>
            <w:tcW w:type="dxa" w:w="1083"/>
            <w:vAlign w:val="center"/>
          </w:tcPr>
          <w:p>
            <w:r>
              <w:rPr>
                <w:sz w:val="16"/>
              </w:rPr>
              <w:t>0.006</w:t>
            </w:r>
          </w:p>
        </w:tc>
        <w:tc>
          <w:tcPr>
            <w:tcW w:type="dxa" w:w="1083"/>
            <w:vAlign w:val="center"/>
          </w:tcPr>
          <w:p>
            <w:r>
              <w:rPr>
                <w:sz w:val="16"/>
              </w:rPr>
              <w:t>-0.017 to 0.031</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BA</w:t>
            </w:r>
          </w:p>
        </w:tc>
        <w:tc>
          <w:tcPr>
            <w:tcW w:type="dxa" w:w="1083"/>
            <w:vAlign w:val="center"/>
          </w:tcPr>
          <w:p>
            <w:r>
              <w:rPr>
                <w:sz w:val="16"/>
              </w:rPr>
              <w:t>0.716</w:t>
            </w:r>
          </w:p>
        </w:tc>
        <w:tc>
          <w:tcPr>
            <w:tcW w:type="dxa" w:w="1083"/>
            <w:vAlign w:val="center"/>
          </w:tcPr>
          <w:p>
            <w:r>
              <w:rPr>
                <w:sz w:val="16"/>
              </w:rPr>
              <w:t>0.793</w:t>
            </w:r>
          </w:p>
        </w:tc>
        <w:tc>
          <w:tcPr>
            <w:tcW w:type="dxa" w:w="1083"/>
            <w:vAlign w:val="center"/>
          </w:tcPr>
          <w:p>
            <w:r>
              <w:rPr>
                <w:sz w:val="16"/>
              </w:rPr>
              <w:t>0.077</w:t>
            </w:r>
          </w:p>
        </w:tc>
        <w:tc>
          <w:tcPr>
            <w:tcW w:type="dxa" w:w="1083"/>
            <w:vAlign w:val="center"/>
          </w:tcPr>
          <w:p>
            <w:r>
              <w:rPr>
                <w:sz w:val="16"/>
              </w:rPr>
              <w:t>0.028 to 0.129</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BA</w:t>
            </w:r>
          </w:p>
        </w:tc>
        <w:tc>
          <w:tcPr>
            <w:tcW w:type="dxa" w:w="1083"/>
            <w:vAlign w:val="center"/>
          </w:tcPr>
          <w:p>
            <w:r>
              <w:rPr>
                <w:sz w:val="16"/>
              </w:rPr>
              <w:t>0.698</w:t>
            </w:r>
          </w:p>
        </w:tc>
        <w:tc>
          <w:tcPr>
            <w:tcW w:type="dxa" w:w="1083"/>
            <w:vAlign w:val="center"/>
          </w:tcPr>
          <w:p>
            <w:r>
              <w:rPr>
                <w:sz w:val="16"/>
              </w:rPr>
              <w:t>0.706</w:t>
            </w:r>
          </w:p>
        </w:tc>
        <w:tc>
          <w:tcPr>
            <w:tcW w:type="dxa" w:w="1083"/>
            <w:vAlign w:val="center"/>
          </w:tcPr>
          <w:p>
            <w:r>
              <w:rPr>
                <w:sz w:val="16"/>
              </w:rPr>
              <w:t>0.009</w:t>
            </w:r>
          </w:p>
        </w:tc>
        <w:tc>
          <w:tcPr>
            <w:tcW w:type="dxa" w:w="1083"/>
            <w:vAlign w:val="center"/>
          </w:tcPr>
          <w:p>
            <w:r>
              <w:rPr>
                <w:sz w:val="16"/>
              </w:rPr>
              <w:t>-0.003 to 0.021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BA</w:t>
            </w:r>
          </w:p>
        </w:tc>
        <w:tc>
          <w:tcPr>
            <w:tcW w:type="dxa" w:w="1083"/>
            <w:vAlign w:val="center"/>
          </w:tcPr>
          <w:p>
            <w:r>
              <w:rPr>
                <w:sz w:val="16"/>
              </w:rPr>
              <w:t>0.676</w:t>
            </w:r>
          </w:p>
        </w:tc>
        <w:tc>
          <w:tcPr>
            <w:tcW w:type="dxa" w:w="1083"/>
            <w:vAlign w:val="center"/>
          </w:tcPr>
          <w:p>
            <w:r>
              <w:rPr>
                <w:sz w:val="16"/>
              </w:rPr>
              <w:t>0.685</w:t>
            </w:r>
          </w:p>
        </w:tc>
        <w:tc>
          <w:tcPr>
            <w:tcW w:type="dxa" w:w="1083"/>
            <w:vAlign w:val="center"/>
          </w:tcPr>
          <w:p>
            <w:r>
              <w:rPr>
                <w:sz w:val="16"/>
              </w:rPr>
              <w:t>0.010</w:t>
            </w:r>
          </w:p>
        </w:tc>
        <w:tc>
          <w:tcPr>
            <w:tcW w:type="dxa" w:w="1083"/>
            <w:vAlign w:val="center"/>
          </w:tcPr>
          <w:p>
            <w:r>
              <w:rPr>
                <w:sz w:val="16"/>
              </w:rPr>
              <w:t>-0.015 to 0.035</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BA</w:t>
            </w:r>
          </w:p>
        </w:tc>
        <w:tc>
          <w:tcPr>
            <w:tcW w:type="dxa" w:w="1083"/>
            <w:vAlign w:val="center"/>
          </w:tcPr>
          <w:p>
            <w:r>
              <w:rPr>
                <w:sz w:val="16"/>
              </w:rPr>
              <w:t>0.673</w:t>
            </w:r>
          </w:p>
        </w:tc>
        <w:tc>
          <w:tcPr>
            <w:tcW w:type="dxa" w:w="1083"/>
            <w:vAlign w:val="center"/>
          </w:tcPr>
          <w:p>
            <w:r>
              <w:rPr>
                <w:sz w:val="16"/>
              </w:rPr>
              <w:t>0.682</w:t>
            </w:r>
          </w:p>
        </w:tc>
        <w:tc>
          <w:tcPr>
            <w:tcW w:type="dxa" w:w="1083"/>
            <w:vAlign w:val="center"/>
          </w:tcPr>
          <w:p>
            <w:r>
              <w:rPr>
                <w:sz w:val="16"/>
              </w:rPr>
              <w:t>0.009</w:t>
            </w:r>
          </w:p>
        </w:tc>
        <w:tc>
          <w:tcPr>
            <w:tcW w:type="dxa" w:w="1083"/>
            <w:vAlign w:val="center"/>
          </w:tcPr>
          <w:p>
            <w:r>
              <w:rPr>
                <w:sz w:val="16"/>
              </w:rPr>
              <w:t>-0.014 to 0.030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BA</w:t>
            </w:r>
          </w:p>
        </w:tc>
        <w:tc>
          <w:tcPr>
            <w:tcW w:type="dxa" w:w="1083"/>
            <w:vAlign w:val="center"/>
          </w:tcPr>
          <w:p>
            <w:r>
              <w:rPr>
                <w:sz w:val="16"/>
              </w:rPr>
              <w:t>0.669</w:t>
            </w:r>
          </w:p>
        </w:tc>
        <w:tc>
          <w:tcPr>
            <w:tcW w:type="dxa" w:w="1083"/>
            <w:vAlign w:val="center"/>
          </w:tcPr>
          <w:p>
            <w:r>
              <w:rPr>
                <w:sz w:val="16"/>
              </w:rPr>
              <w:t>0.677</w:t>
            </w:r>
          </w:p>
        </w:tc>
        <w:tc>
          <w:tcPr>
            <w:tcW w:type="dxa" w:w="1083"/>
            <w:vAlign w:val="center"/>
          </w:tcPr>
          <w:p>
            <w:r>
              <w:rPr>
                <w:sz w:val="16"/>
              </w:rPr>
              <w:t>0.008</w:t>
            </w:r>
          </w:p>
        </w:tc>
        <w:tc>
          <w:tcPr>
            <w:tcW w:type="dxa" w:w="1083"/>
            <w:vAlign w:val="center"/>
          </w:tcPr>
          <w:p>
            <w:r>
              <w:rPr>
                <w:sz w:val="16"/>
              </w:rPr>
              <w:t>-0.008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BA</w:t>
            </w:r>
          </w:p>
        </w:tc>
        <w:tc>
          <w:tcPr>
            <w:tcW w:type="dxa" w:w="1083"/>
            <w:vAlign w:val="center"/>
          </w:tcPr>
          <w:p>
            <w:r>
              <w:rPr>
                <w:sz w:val="16"/>
              </w:rPr>
              <w:t>0.640</w:t>
            </w:r>
          </w:p>
        </w:tc>
        <w:tc>
          <w:tcPr>
            <w:tcW w:type="dxa" w:w="1083"/>
            <w:vAlign w:val="center"/>
          </w:tcPr>
          <w:p>
            <w:r>
              <w:rPr>
                <w:sz w:val="16"/>
              </w:rPr>
              <w:t>0.633</w:t>
            </w:r>
          </w:p>
        </w:tc>
        <w:tc>
          <w:tcPr>
            <w:tcW w:type="dxa" w:w="1083"/>
            <w:vAlign w:val="center"/>
          </w:tcPr>
          <w:p>
            <w:r>
              <w:rPr>
                <w:sz w:val="16"/>
              </w:rPr>
              <w:t>-0.007</w:t>
            </w:r>
          </w:p>
        </w:tc>
        <w:tc>
          <w:tcPr>
            <w:tcW w:type="dxa" w:w="1083"/>
            <w:vAlign w:val="center"/>
          </w:tcPr>
          <w:p>
            <w:r>
              <w:rPr>
                <w:sz w:val="16"/>
              </w:rPr>
              <w:t>-0.034 to 0.020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BA</w:t>
            </w:r>
          </w:p>
        </w:tc>
        <w:tc>
          <w:tcPr>
            <w:tcW w:type="dxa" w:w="1083"/>
            <w:vAlign w:val="center"/>
          </w:tcPr>
          <w:p>
            <w:r>
              <w:rPr>
                <w:sz w:val="16"/>
              </w:rPr>
              <w:t>0.621</w:t>
            </w:r>
          </w:p>
        </w:tc>
        <w:tc>
          <w:tcPr>
            <w:tcW w:type="dxa" w:w="1083"/>
            <w:vAlign w:val="center"/>
          </w:tcPr>
          <w:p>
            <w:r>
              <w:rPr>
                <w:sz w:val="16"/>
              </w:rPr>
              <w:t>0.631</w:t>
            </w:r>
          </w:p>
        </w:tc>
        <w:tc>
          <w:tcPr>
            <w:tcW w:type="dxa" w:w="1083"/>
            <w:vAlign w:val="center"/>
          </w:tcPr>
          <w:p>
            <w:r>
              <w:rPr>
                <w:sz w:val="16"/>
              </w:rPr>
              <w:t>0.009</w:t>
            </w:r>
          </w:p>
        </w:tc>
        <w:tc>
          <w:tcPr>
            <w:tcW w:type="dxa" w:w="1083"/>
            <w:vAlign w:val="center"/>
          </w:tcPr>
          <w:p>
            <w:r>
              <w:rPr>
                <w:sz w:val="16"/>
              </w:rPr>
              <w:t>-0.026 to 0.044</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BA</w:t>
            </w:r>
          </w:p>
        </w:tc>
        <w:tc>
          <w:tcPr>
            <w:tcW w:type="dxa" w:w="1083"/>
            <w:vAlign w:val="center"/>
          </w:tcPr>
          <w:p>
            <w:r>
              <w:rPr>
                <w:sz w:val="16"/>
              </w:rPr>
              <w:t>0.636</w:t>
            </w:r>
          </w:p>
        </w:tc>
        <w:tc>
          <w:tcPr>
            <w:tcW w:type="dxa" w:w="1083"/>
            <w:vAlign w:val="center"/>
          </w:tcPr>
          <w:p>
            <w:r>
              <w:rPr>
                <w:sz w:val="16"/>
              </w:rPr>
              <w:t>0.671</w:t>
            </w:r>
          </w:p>
        </w:tc>
        <w:tc>
          <w:tcPr>
            <w:tcW w:type="dxa" w:w="1083"/>
            <w:vAlign w:val="center"/>
          </w:tcPr>
          <w:p>
            <w:r>
              <w:rPr>
                <w:sz w:val="16"/>
              </w:rPr>
              <w:t>0.035</w:t>
            </w:r>
          </w:p>
        </w:tc>
        <w:tc>
          <w:tcPr>
            <w:tcW w:type="dxa" w:w="1083"/>
            <w:vAlign w:val="center"/>
          </w:tcPr>
          <w:p>
            <w:r>
              <w:rPr>
                <w:sz w:val="16"/>
              </w:rPr>
              <w:t>0.015 to 0.056</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BA</w:t>
            </w:r>
          </w:p>
        </w:tc>
        <w:tc>
          <w:tcPr>
            <w:tcW w:type="dxa" w:w="1083"/>
            <w:vAlign w:val="center"/>
          </w:tcPr>
          <w:p>
            <w:r>
              <w:rPr>
                <w:sz w:val="16"/>
              </w:rPr>
              <w:t>0.643</w:t>
            </w:r>
          </w:p>
        </w:tc>
        <w:tc>
          <w:tcPr>
            <w:tcW w:type="dxa" w:w="1083"/>
            <w:vAlign w:val="center"/>
          </w:tcPr>
          <w:p>
            <w:r>
              <w:rPr>
                <w:sz w:val="16"/>
              </w:rPr>
              <w:t>0.655</w:t>
            </w:r>
          </w:p>
        </w:tc>
        <w:tc>
          <w:tcPr>
            <w:tcW w:type="dxa" w:w="1083"/>
            <w:vAlign w:val="center"/>
          </w:tcPr>
          <w:p>
            <w:r>
              <w:rPr>
                <w:sz w:val="16"/>
              </w:rPr>
              <w:t>0.012</w:t>
            </w:r>
          </w:p>
        </w:tc>
        <w:tc>
          <w:tcPr>
            <w:tcW w:type="dxa" w:w="1083"/>
            <w:vAlign w:val="center"/>
          </w:tcPr>
          <w:p>
            <w:r>
              <w:rPr>
                <w:sz w:val="16"/>
              </w:rPr>
              <w:t>-0.022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BA</w:t>
            </w:r>
          </w:p>
        </w:tc>
        <w:tc>
          <w:tcPr>
            <w:tcW w:type="dxa" w:w="1083"/>
            <w:vAlign w:val="center"/>
          </w:tcPr>
          <w:p>
            <w:r>
              <w:rPr>
                <w:sz w:val="16"/>
              </w:rPr>
              <w:t>0.612</w:t>
            </w:r>
          </w:p>
        </w:tc>
        <w:tc>
          <w:tcPr>
            <w:tcW w:type="dxa" w:w="1083"/>
            <w:vAlign w:val="center"/>
          </w:tcPr>
          <w:p>
            <w:r>
              <w:rPr>
                <w:sz w:val="16"/>
              </w:rPr>
              <w:t>0.619</w:t>
            </w:r>
          </w:p>
        </w:tc>
        <w:tc>
          <w:tcPr>
            <w:tcW w:type="dxa" w:w="1083"/>
            <w:vAlign w:val="center"/>
          </w:tcPr>
          <w:p>
            <w:r>
              <w:rPr>
                <w:sz w:val="16"/>
              </w:rPr>
              <w:t>0.007</w:t>
            </w:r>
          </w:p>
        </w:tc>
        <w:tc>
          <w:tcPr>
            <w:tcW w:type="dxa" w:w="1083"/>
            <w:vAlign w:val="center"/>
          </w:tcPr>
          <w:p>
            <w:r>
              <w:rPr>
                <w:sz w:val="16"/>
              </w:rPr>
              <w:t>-0.014 to 0.028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BA</w:t>
            </w:r>
          </w:p>
        </w:tc>
        <w:tc>
          <w:tcPr>
            <w:tcW w:type="dxa" w:w="1083"/>
            <w:vAlign w:val="center"/>
          </w:tcPr>
          <w:p>
            <w:r>
              <w:rPr>
                <w:sz w:val="16"/>
              </w:rPr>
              <w:t>0.625</w:t>
            </w:r>
          </w:p>
        </w:tc>
        <w:tc>
          <w:tcPr>
            <w:tcW w:type="dxa" w:w="1083"/>
            <w:vAlign w:val="center"/>
          </w:tcPr>
          <w:p>
            <w:r>
              <w:rPr>
                <w:sz w:val="16"/>
              </w:rPr>
              <w:t>0.612</w:t>
            </w:r>
          </w:p>
        </w:tc>
        <w:tc>
          <w:tcPr>
            <w:tcW w:type="dxa" w:w="1083"/>
            <w:vAlign w:val="center"/>
          </w:tcPr>
          <w:p>
            <w:r>
              <w:rPr>
                <w:sz w:val="16"/>
              </w:rPr>
              <w:t>-0.014</w:t>
            </w:r>
          </w:p>
        </w:tc>
        <w:tc>
          <w:tcPr>
            <w:tcW w:type="dxa" w:w="1083"/>
            <w:vAlign w:val="center"/>
          </w:tcPr>
          <w:p>
            <w:r>
              <w:rPr>
                <w:sz w:val="16"/>
              </w:rPr>
              <w:t>-0.051 to 0.024</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0.621</w:t>
            </w:r>
          </w:p>
        </w:tc>
        <w:tc>
          <w:tcPr>
            <w:tcW w:type="dxa" w:w="1083"/>
            <w:vAlign w:val="center"/>
          </w:tcPr>
          <w:p>
            <w:r>
              <w:rPr>
                <w:sz w:val="16"/>
              </w:rPr>
              <w:t>0.016</w:t>
            </w:r>
          </w:p>
        </w:tc>
        <w:tc>
          <w:tcPr>
            <w:tcW w:type="dxa" w:w="1083"/>
            <w:vAlign w:val="center"/>
          </w:tcPr>
          <w:p>
            <w:r>
              <w:rPr>
                <w:sz w:val="16"/>
              </w:rPr>
              <w:t>-0.008 to 0.039</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0.642</w:t>
            </w:r>
          </w:p>
        </w:tc>
        <w:tc>
          <w:tcPr>
            <w:tcW w:type="dxa" w:w="1083"/>
            <w:vAlign w:val="center"/>
          </w:tcPr>
          <w:p>
            <w:r>
              <w:rPr>
                <w:sz w:val="16"/>
              </w:rPr>
              <w:t>0.038</w:t>
            </w:r>
          </w:p>
        </w:tc>
        <w:tc>
          <w:tcPr>
            <w:tcW w:type="dxa" w:w="1083"/>
            <w:vAlign w:val="center"/>
          </w:tcPr>
          <w:p>
            <w:r>
              <w:rPr>
                <w:sz w:val="16"/>
              </w:rPr>
              <w:t>0.013 to 0.061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BA</w:t>
            </w:r>
          </w:p>
        </w:tc>
        <w:tc>
          <w:tcPr>
            <w:tcW w:type="dxa" w:w="1083"/>
            <w:vAlign w:val="center"/>
          </w:tcPr>
          <w:p>
            <w:r>
              <w:rPr>
                <w:sz w:val="16"/>
              </w:rPr>
              <w:t>0.590</w:t>
            </w:r>
          </w:p>
        </w:tc>
        <w:tc>
          <w:tcPr>
            <w:tcW w:type="dxa" w:w="1083"/>
            <w:vAlign w:val="center"/>
          </w:tcPr>
          <w:p>
            <w:r>
              <w:rPr>
                <w:sz w:val="16"/>
              </w:rPr>
              <w:t>0.617</w:t>
            </w:r>
          </w:p>
        </w:tc>
        <w:tc>
          <w:tcPr>
            <w:tcW w:type="dxa" w:w="1083"/>
            <w:vAlign w:val="center"/>
          </w:tcPr>
          <w:p>
            <w:r>
              <w:rPr>
                <w:sz w:val="16"/>
              </w:rPr>
              <w:t>0.027</w:t>
            </w:r>
          </w:p>
        </w:tc>
        <w:tc>
          <w:tcPr>
            <w:tcW w:type="dxa" w:w="1083"/>
            <w:vAlign w:val="center"/>
          </w:tcPr>
          <w:p>
            <w:r>
              <w:rPr>
                <w:sz w:val="16"/>
              </w:rPr>
              <w:t>-0.006 to 0.061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BA</w:t>
            </w:r>
          </w:p>
        </w:tc>
        <w:tc>
          <w:tcPr>
            <w:tcW w:type="dxa" w:w="1083"/>
            <w:vAlign w:val="center"/>
          </w:tcPr>
          <w:p>
            <w:r>
              <w:rPr>
                <w:sz w:val="16"/>
              </w:rPr>
              <w:t>0.578</w:t>
            </w:r>
          </w:p>
        </w:tc>
        <w:tc>
          <w:tcPr>
            <w:tcW w:type="dxa" w:w="1083"/>
            <w:vAlign w:val="center"/>
          </w:tcPr>
          <w:p>
            <w:r>
              <w:rPr>
                <w:sz w:val="16"/>
              </w:rPr>
              <w:t>0.614</w:t>
            </w:r>
          </w:p>
        </w:tc>
        <w:tc>
          <w:tcPr>
            <w:tcW w:type="dxa" w:w="1083"/>
            <w:vAlign w:val="center"/>
          </w:tcPr>
          <w:p>
            <w:r>
              <w:rPr>
                <w:sz w:val="16"/>
              </w:rPr>
              <w:t>0.036</w:t>
            </w:r>
          </w:p>
        </w:tc>
        <w:tc>
          <w:tcPr>
            <w:tcW w:type="dxa" w:w="1083"/>
            <w:vAlign w:val="center"/>
          </w:tcPr>
          <w:p>
            <w:r>
              <w:rPr>
                <w:sz w:val="16"/>
              </w:rPr>
              <w:t>-0.009 to 0.077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BA</w:t>
            </w:r>
          </w:p>
        </w:tc>
        <w:tc>
          <w:tcPr>
            <w:tcW w:type="dxa" w:w="1083"/>
            <w:vAlign w:val="center"/>
          </w:tcPr>
          <w:p>
            <w:r>
              <w:rPr>
                <w:sz w:val="16"/>
              </w:rPr>
              <w:t>0.594</w:t>
            </w:r>
          </w:p>
        </w:tc>
        <w:tc>
          <w:tcPr>
            <w:tcW w:type="dxa" w:w="1083"/>
            <w:vAlign w:val="center"/>
          </w:tcPr>
          <w:p>
            <w:r>
              <w:rPr>
                <w:sz w:val="16"/>
              </w:rPr>
              <w:t>0.616</w:t>
            </w:r>
          </w:p>
        </w:tc>
        <w:tc>
          <w:tcPr>
            <w:tcW w:type="dxa" w:w="1083"/>
            <w:vAlign w:val="center"/>
          </w:tcPr>
          <w:p>
            <w:r>
              <w:rPr>
                <w:sz w:val="16"/>
              </w:rPr>
              <w:t>0.023</w:t>
            </w:r>
          </w:p>
        </w:tc>
        <w:tc>
          <w:tcPr>
            <w:tcW w:type="dxa" w:w="1083"/>
            <w:vAlign w:val="center"/>
          </w:tcPr>
          <w:p>
            <w:r>
              <w:rPr>
                <w:sz w:val="16"/>
              </w:rPr>
              <w:t>-0.018 to 0.061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BA</w:t>
            </w:r>
          </w:p>
        </w:tc>
        <w:tc>
          <w:tcPr>
            <w:tcW w:type="dxa" w:w="1083"/>
            <w:vAlign w:val="center"/>
          </w:tcPr>
          <w:p>
            <w:r>
              <w:rPr>
                <w:sz w:val="16"/>
              </w:rPr>
              <w:t>0.616</w:t>
            </w:r>
          </w:p>
        </w:tc>
        <w:tc>
          <w:tcPr>
            <w:tcW w:type="dxa" w:w="1083"/>
            <w:vAlign w:val="center"/>
          </w:tcPr>
          <w:p>
            <w:r>
              <w:rPr>
                <w:sz w:val="16"/>
              </w:rPr>
              <w:t>0.620</w:t>
            </w:r>
          </w:p>
        </w:tc>
        <w:tc>
          <w:tcPr>
            <w:tcW w:type="dxa" w:w="1083"/>
            <w:vAlign w:val="center"/>
          </w:tcPr>
          <w:p>
            <w:r>
              <w:rPr>
                <w:sz w:val="16"/>
              </w:rPr>
              <w:t>0.004</w:t>
            </w:r>
          </w:p>
        </w:tc>
        <w:tc>
          <w:tcPr>
            <w:tcW w:type="dxa" w:w="1083"/>
            <w:vAlign w:val="center"/>
          </w:tcPr>
          <w:p>
            <w:r>
              <w:rPr>
                <w:sz w:val="16"/>
              </w:rPr>
              <w:t>-0.021 to 0.030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BA</w:t>
            </w:r>
          </w:p>
        </w:tc>
        <w:tc>
          <w:tcPr>
            <w:tcW w:type="dxa" w:w="1083"/>
            <w:vAlign w:val="center"/>
          </w:tcPr>
          <w:p>
            <w:r>
              <w:rPr>
                <w:sz w:val="16"/>
              </w:rPr>
              <w:t>0.589</w:t>
            </w:r>
          </w:p>
        </w:tc>
        <w:tc>
          <w:tcPr>
            <w:tcW w:type="dxa" w:w="1083"/>
            <w:vAlign w:val="center"/>
          </w:tcPr>
          <w:p>
            <w:r>
              <w:rPr>
                <w:sz w:val="16"/>
              </w:rPr>
              <w:t>0.569</w:t>
            </w:r>
          </w:p>
        </w:tc>
        <w:tc>
          <w:tcPr>
            <w:tcW w:type="dxa" w:w="1083"/>
            <w:vAlign w:val="center"/>
          </w:tcPr>
          <w:p>
            <w:r>
              <w:rPr>
                <w:sz w:val="16"/>
              </w:rPr>
              <w:t>-0.020</w:t>
            </w:r>
          </w:p>
        </w:tc>
        <w:tc>
          <w:tcPr>
            <w:tcW w:type="dxa" w:w="1083"/>
            <w:vAlign w:val="center"/>
          </w:tcPr>
          <w:p>
            <w:r>
              <w:rPr>
                <w:sz w:val="16"/>
              </w:rPr>
              <w:t>-0.063 to 0.027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BA</w:t>
            </w:r>
          </w:p>
        </w:tc>
        <w:tc>
          <w:tcPr>
            <w:tcW w:type="dxa" w:w="1083"/>
            <w:vAlign w:val="center"/>
          </w:tcPr>
          <w:p>
            <w:r>
              <w:rPr>
                <w:sz w:val="16"/>
              </w:rPr>
              <w:t>0.572</w:t>
            </w:r>
          </w:p>
        </w:tc>
        <w:tc>
          <w:tcPr>
            <w:tcW w:type="dxa" w:w="1083"/>
            <w:vAlign w:val="center"/>
          </w:tcPr>
          <w:p>
            <w:r>
              <w:rPr>
                <w:sz w:val="16"/>
              </w:rPr>
              <w:t>0.584</w:t>
            </w:r>
          </w:p>
        </w:tc>
        <w:tc>
          <w:tcPr>
            <w:tcW w:type="dxa" w:w="1083"/>
            <w:vAlign w:val="center"/>
          </w:tcPr>
          <w:p>
            <w:r>
              <w:rPr>
                <w:sz w:val="16"/>
              </w:rPr>
              <w:t>0.012</w:t>
            </w:r>
          </w:p>
        </w:tc>
        <w:tc>
          <w:tcPr>
            <w:tcW w:type="dxa" w:w="1083"/>
            <w:vAlign w:val="center"/>
          </w:tcPr>
          <w:p>
            <w:r>
              <w:rPr>
                <w:sz w:val="16"/>
              </w:rPr>
              <w:t>-0.012 to 0.037</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BA</w:t>
            </w:r>
          </w:p>
        </w:tc>
        <w:tc>
          <w:tcPr>
            <w:tcW w:type="dxa" w:w="1083"/>
            <w:vAlign w:val="center"/>
          </w:tcPr>
          <w:p>
            <w:r>
              <w:rPr>
                <w:sz w:val="16"/>
              </w:rPr>
              <w:t>0.556</w:t>
            </w:r>
          </w:p>
        </w:tc>
        <w:tc>
          <w:tcPr>
            <w:tcW w:type="dxa" w:w="1083"/>
            <w:vAlign w:val="center"/>
          </w:tcPr>
          <w:p>
            <w:r>
              <w:rPr>
                <w:sz w:val="16"/>
              </w:rPr>
              <w:t>0.571</w:t>
            </w:r>
          </w:p>
        </w:tc>
        <w:tc>
          <w:tcPr>
            <w:tcW w:type="dxa" w:w="1083"/>
            <w:vAlign w:val="center"/>
          </w:tcPr>
          <w:p>
            <w:r>
              <w:rPr>
                <w:sz w:val="16"/>
              </w:rPr>
              <w:t>0.015</w:t>
            </w:r>
          </w:p>
        </w:tc>
        <w:tc>
          <w:tcPr>
            <w:tcW w:type="dxa" w:w="1083"/>
            <w:vAlign w:val="center"/>
          </w:tcPr>
          <w:p>
            <w:r>
              <w:rPr>
                <w:sz w:val="16"/>
              </w:rPr>
              <w:t>-0.018 to 0.047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BA</w:t>
            </w:r>
          </w:p>
        </w:tc>
        <w:tc>
          <w:tcPr>
            <w:tcW w:type="dxa" w:w="1083"/>
            <w:vAlign w:val="center"/>
          </w:tcPr>
          <w:p>
            <w:r>
              <w:rPr>
                <w:sz w:val="16"/>
              </w:rPr>
              <w:t>0.573</w:t>
            </w:r>
          </w:p>
        </w:tc>
        <w:tc>
          <w:tcPr>
            <w:tcW w:type="dxa" w:w="1083"/>
            <w:vAlign w:val="center"/>
          </w:tcPr>
          <w:p>
            <w:r>
              <w:rPr>
                <w:sz w:val="16"/>
              </w:rPr>
              <w:t>0.568</w:t>
            </w:r>
          </w:p>
        </w:tc>
        <w:tc>
          <w:tcPr>
            <w:tcW w:type="dxa" w:w="1083"/>
            <w:vAlign w:val="center"/>
          </w:tcPr>
          <w:p>
            <w:r>
              <w:rPr>
                <w:sz w:val="16"/>
              </w:rPr>
              <w:t>-0.005</w:t>
            </w:r>
          </w:p>
        </w:tc>
        <w:tc>
          <w:tcPr>
            <w:tcW w:type="dxa" w:w="1083"/>
            <w:vAlign w:val="center"/>
          </w:tcPr>
          <w:p>
            <w:r>
              <w:rPr>
                <w:sz w:val="16"/>
              </w:rPr>
              <w:t>-0.024 to 0.012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BA</w:t>
            </w:r>
          </w:p>
        </w:tc>
        <w:tc>
          <w:tcPr>
            <w:tcW w:type="dxa" w:w="1083"/>
            <w:vAlign w:val="center"/>
          </w:tcPr>
          <w:p>
            <w:r>
              <w:rPr>
                <w:sz w:val="16"/>
              </w:rPr>
              <w:t>0.526</w:t>
            </w:r>
          </w:p>
        </w:tc>
        <w:tc>
          <w:tcPr>
            <w:tcW w:type="dxa" w:w="1083"/>
            <w:vAlign w:val="center"/>
          </w:tcPr>
          <w:p>
            <w:r>
              <w:rPr>
                <w:sz w:val="16"/>
              </w:rPr>
              <w:t>0.545</w:t>
            </w:r>
          </w:p>
        </w:tc>
        <w:tc>
          <w:tcPr>
            <w:tcW w:type="dxa" w:w="1083"/>
            <w:vAlign w:val="center"/>
          </w:tcPr>
          <w:p>
            <w:r>
              <w:rPr>
                <w:sz w:val="16"/>
              </w:rPr>
              <w:t>0.019</w:t>
            </w:r>
          </w:p>
        </w:tc>
        <w:tc>
          <w:tcPr>
            <w:tcW w:type="dxa" w:w="1083"/>
            <w:vAlign w:val="center"/>
          </w:tcPr>
          <w:p>
            <w:r>
              <w:rPr>
                <w:sz w:val="16"/>
              </w:rPr>
              <w:t>-0.032 to 0.074</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BA</w:t>
            </w:r>
          </w:p>
        </w:tc>
        <w:tc>
          <w:tcPr>
            <w:tcW w:type="dxa" w:w="1083"/>
            <w:vAlign w:val="center"/>
          </w:tcPr>
          <w:p>
            <w:r>
              <w:rPr>
                <w:sz w:val="16"/>
              </w:rPr>
              <w:t>0.544</w:t>
            </w:r>
          </w:p>
        </w:tc>
        <w:tc>
          <w:tcPr>
            <w:tcW w:type="dxa" w:w="1083"/>
            <w:vAlign w:val="center"/>
          </w:tcPr>
          <w:p>
            <w:r>
              <w:rPr>
                <w:sz w:val="16"/>
              </w:rPr>
              <w:t>0.556</w:t>
            </w:r>
          </w:p>
        </w:tc>
        <w:tc>
          <w:tcPr>
            <w:tcW w:type="dxa" w:w="1083"/>
            <w:vAlign w:val="center"/>
          </w:tcPr>
          <w:p>
            <w:r>
              <w:rPr>
                <w:sz w:val="16"/>
              </w:rPr>
              <w:t>0.012</w:t>
            </w:r>
          </w:p>
        </w:tc>
        <w:tc>
          <w:tcPr>
            <w:tcW w:type="dxa" w:w="1083"/>
            <w:vAlign w:val="center"/>
          </w:tcPr>
          <w:p>
            <w:r>
              <w:rPr>
                <w:sz w:val="16"/>
              </w:rPr>
              <w:t>-0.012 to 0.036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BA</w:t>
            </w:r>
          </w:p>
        </w:tc>
        <w:tc>
          <w:tcPr>
            <w:tcW w:type="dxa" w:w="1083"/>
            <w:vAlign w:val="center"/>
          </w:tcPr>
          <w:p>
            <w:r>
              <w:rPr>
                <w:sz w:val="16"/>
              </w:rPr>
              <w:t>0.557</w:t>
            </w:r>
          </w:p>
        </w:tc>
        <w:tc>
          <w:tcPr>
            <w:tcW w:type="dxa" w:w="1083"/>
            <w:vAlign w:val="center"/>
          </w:tcPr>
          <w:p>
            <w:r>
              <w:rPr>
                <w:sz w:val="16"/>
              </w:rPr>
              <w:t>0.555</w:t>
            </w:r>
          </w:p>
        </w:tc>
        <w:tc>
          <w:tcPr>
            <w:tcW w:type="dxa" w:w="1083"/>
            <w:vAlign w:val="center"/>
          </w:tcPr>
          <w:p>
            <w:r>
              <w:rPr>
                <w:sz w:val="16"/>
              </w:rPr>
              <w:t>-0.001</w:t>
            </w:r>
          </w:p>
        </w:tc>
        <w:tc>
          <w:tcPr>
            <w:tcW w:type="dxa" w:w="1083"/>
            <w:vAlign w:val="center"/>
          </w:tcPr>
          <w:p>
            <w:r>
              <w:rPr>
                <w:sz w:val="16"/>
              </w:rPr>
              <w:t>-0.028 to 0.025</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BA</w:t>
            </w:r>
          </w:p>
        </w:tc>
        <w:tc>
          <w:tcPr>
            <w:tcW w:type="dxa" w:w="1083"/>
            <w:vAlign w:val="center"/>
          </w:tcPr>
          <w:p>
            <w:r>
              <w:rPr>
                <w:sz w:val="16"/>
              </w:rPr>
              <w:t>0.529</w:t>
            </w:r>
          </w:p>
        </w:tc>
        <w:tc>
          <w:tcPr>
            <w:tcW w:type="dxa" w:w="1083"/>
            <w:vAlign w:val="center"/>
          </w:tcPr>
          <w:p>
            <w:r>
              <w:rPr>
                <w:sz w:val="16"/>
              </w:rPr>
              <w:t>0.537</w:t>
            </w:r>
          </w:p>
        </w:tc>
        <w:tc>
          <w:tcPr>
            <w:tcW w:type="dxa" w:w="1083"/>
            <w:vAlign w:val="center"/>
          </w:tcPr>
          <w:p>
            <w:r>
              <w:rPr>
                <w:sz w:val="16"/>
              </w:rPr>
              <w:t>0.008</w:t>
            </w:r>
          </w:p>
        </w:tc>
        <w:tc>
          <w:tcPr>
            <w:tcW w:type="dxa" w:w="1083"/>
            <w:vAlign w:val="center"/>
          </w:tcPr>
          <w:p>
            <w:r>
              <w:rPr>
                <w:sz w:val="16"/>
              </w:rPr>
              <w:t>-0.031 to 0.047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BA</w:t>
            </w:r>
          </w:p>
        </w:tc>
        <w:tc>
          <w:tcPr>
            <w:tcW w:type="dxa" w:w="1083"/>
            <w:vAlign w:val="center"/>
          </w:tcPr>
          <w:p>
            <w:r>
              <w:rPr>
                <w:sz w:val="16"/>
              </w:rPr>
              <w:t>0.540</w:t>
            </w:r>
          </w:p>
        </w:tc>
        <w:tc>
          <w:tcPr>
            <w:tcW w:type="dxa" w:w="1083"/>
            <w:vAlign w:val="center"/>
          </w:tcPr>
          <w:p>
            <w:r>
              <w:rPr>
                <w:sz w:val="16"/>
              </w:rPr>
              <w:t>0.588</w:t>
            </w:r>
          </w:p>
        </w:tc>
        <w:tc>
          <w:tcPr>
            <w:tcW w:type="dxa" w:w="1083"/>
            <w:vAlign w:val="center"/>
          </w:tcPr>
          <w:p>
            <w:r>
              <w:rPr>
                <w:sz w:val="16"/>
              </w:rPr>
              <w:t>0.048</w:t>
            </w:r>
          </w:p>
        </w:tc>
        <w:tc>
          <w:tcPr>
            <w:tcW w:type="dxa" w:w="1083"/>
            <w:vAlign w:val="center"/>
          </w:tcPr>
          <w:p>
            <w:r>
              <w:rPr>
                <w:sz w:val="16"/>
              </w:rPr>
              <w:t>0.004 to 0.090</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BA</w:t>
            </w:r>
          </w:p>
        </w:tc>
        <w:tc>
          <w:tcPr>
            <w:tcW w:type="dxa" w:w="1083"/>
            <w:vAlign w:val="center"/>
          </w:tcPr>
          <w:p>
            <w:r>
              <w:rPr>
                <w:sz w:val="16"/>
              </w:rPr>
              <w:t>0.528</w:t>
            </w:r>
          </w:p>
        </w:tc>
        <w:tc>
          <w:tcPr>
            <w:tcW w:type="dxa" w:w="1083"/>
            <w:vAlign w:val="center"/>
          </w:tcPr>
          <w:p>
            <w:r>
              <w:rPr>
                <w:sz w:val="16"/>
              </w:rPr>
              <w:t>0.522</w:t>
            </w:r>
          </w:p>
        </w:tc>
        <w:tc>
          <w:tcPr>
            <w:tcW w:type="dxa" w:w="1083"/>
            <w:vAlign w:val="center"/>
          </w:tcPr>
          <w:p>
            <w:r>
              <w:rPr>
                <w:sz w:val="16"/>
              </w:rPr>
              <w:t>-0.006</w:t>
            </w:r>
          </w:p>
        </w:tc>
        <w:tc>
          <w:tcPr>
            <w:tcW w:type="dxa" w:w="1083"/>
            <w:vAlign w:val="center"/>
          </w:tcPr>
          <w:p>
            <w:r>
              <w:rPr>
                <w:sz w:val="16"/>
              </w:rPr>
              <w:t>-0.050 to 0.039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BA</w:t>
            </w:r>
          </w:p>
        </w:tc>
        <w:tc>
          <w:tcPr>
            <w:tcW w:type="dxa" w:w="1083"/>
            <w:vAlign w:val="center"/>
          </w:tcPr>
          <w:p>
            <w:r>
              <w:rPr>
                <w:sz w:val="16"/>
              </w:rPr>
              <w:t>0.510</w:t>
            </w:r>
          </w:p>
        </w:tc>
        <w:tc>
          <w:tcPr>
            <w:tcW w:type="dxa" w:w="1083"/>
            <w:vAlign w:val="center"/>
          </w:tcPr>
          <w:p>
            <w:r>
              <w:rPr>
                <w:sz w:val="16"/>
              </w:rPr>
              <w:t>0.504</w:t>
            </w:r>
          </w:p>
        </w:tc>
        <w:tc>
          <w:tcPr>
            <w:tcW w:type="dxa" w:w="1083"/>
            <w:vAlign w:val="center"/>
          </w:tcPr>
          <w:p>
            <w:r>
              <w:rPr>
                <w:sz w:val="16"/>
              </w:rPr>
              <w:t>-0.005</w:t>
            </w:r>
          </w:p>
        </w:tc>
        <w:tc>
          <w:tcPr>
            <w:tcW w:type="dxa" w:w="1083"/>
            <w:vAlign w:val="center"/>
          </w:tcPr>
          <w:p>
            <w:r>
              <w:rPr>
                <w:sz w:val="16"/>
              </w:rPr>
              <w:t>-0.027 to 0.016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BA</w:t>
            </w:r>
          </w:p>
        </w:tc>
        <w:tc>
          <w:tcPr>
            <w:tcW w:type="dxa" w:w="1083"/>
            <w:vAlign w:val="center"/>
          </w:tcPr>
          <w:p>
            <w:r>
              <w:rPr>
                <w:sz w:val="16"/>
              </w:rPr>
              <w:t>0.501</w:t>
            </w:r>
          </w:p>
        </w:tc>
        <w:tc>
          <w:tcPr>
            <w:tcW w:type="dxa" w:w="1083"/>
            <w:vAlign w:val="center"/>
          </w:tcPr>
          <w:p>
            <w:r>
              <w:rPr>
                <w:sz w:val="16"/>
              </w:rPr>
              <w:t>0.530</w:t>
            </w:r>
          </w:p>
        </w:tc>
        <w:tc>
          <w:tcPr>
            <w:tcW w:type="dxa" w:w="1083"/>
            <w:vAlign w:val="center"/>
          </w:tcPr>
          <w:p>
            <w:r>
              <w:rPr>
                <w:sz w:val="16"/>
              </w:rPr>
              <w:t>0.028</w:t>
            </w:r>
          </w:p>
        </w:tc>
        <w:tc>
          <w:tcPr>
            <w:tcW w:type="dxa" w:w="1083"/>
            <w:vAlign w:val="center"/>
          </w:tcPr>
          <w:p>
            <w:r>
              <w:rPr>
                <w:sz w:val="16"/>
              </w:rPr>
              <w:t>-0.014 to 0.070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BA</w:t>
            </w:r>
          </w:p>
        </w:tc>
        <w:tc>
          <w:tcPr>
            <w:tcW w:type="dxa" w:w="1083"/>
            <w:vAlign w:val="center"/>
          </w:tcPr>
          <w:p>
            <w:r>
              <w:rPr>
                <w:sz w:val="16"/>
              </w:rPr>
              <w:t>0.461</w:t>
            </w:r>
          </w:p>
        </w:tc>
        <w:tc>
          <w:tcPr>
            <w:tcW w:type="dxa" w:w="1083"/>
            <w:vAlign w:val="center"/>
          </w:tcPr>
          <w:p>
            <w:r>
              <w:rPr>
                <w:sz w:val="16"/>
              </w:rPr>
              <w:t>0.486</w:t>
            </w:r>
          </w:p>
        </w:tc>
        <w:tc>
          <w:tcPr>
            <w:tcW w:type="dxa" w:w="1083"/>
            <w:vAlign w:val="center"/>
          </w:tcPr>
          <w:p>
            <w:r>
              <w:rPr>
                <w:sz w:val="16"/>
              </w:rPr>
              <w:t>0.025</w:t>
            </w:r>
          </w:p>
        </w:tc>
        <w:tc>
          <w:tcPr>
            <w:tcW w:type="dxa" w:w="1083"/>
            <w:vAlign w:val="center"/>
          </w:tcPr>
          <w:p>
            <w:r>
              <w:rPr>
                <w:sz w:val="16"/>
              </w:rPr>
              <w:t>-0.032 to 0.081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BA</w:t>
            </w:r>
          </w:p>
        </w:tc>
        <w:tc>
          <w:tcPr>
            <w:tcW w:type="dxa" w:w="1083"/>
            <w:vAlign w:val="center"/>
          </w:tcPr>
          <w:p>
            <w:r>
              <w:rPr>
                <w:sz w:val="16"/>
              </w:rPr>
              <w:t>0.457</w:t>
            </w:r>
          </w:p>
        </w:tc>
        <w:tc>
          <w:tcPr>
            <w:tcW w:type="dxa" w:w="1083"/>
            <w:vAlign w:val="center"/>
          </w:tcPr>
          <w:p>
            <w:r>
              <w:rPr>
                <w:sz w:val="16"/>
              </w:rPr>
              <w:t>0.481</w:t>
            </w:r>
          </w:p>
        </w:tc>
        <w:tc>
          <w:tcPr>
            <w:tcW w:type="dxa" w:w="1083"/>
            <w:vAlign w:val="center"/>
          </w:tcPr>
          <w:p>
            <w:r>
              <w:rPr>
                <w:sz w:val="16"/>
              </w:rPr>
              <w:t>0.024</w:t>
            </w:r>
          </w:p>
        </w:tc>
        <w:tc>
          <w:tcPr>
            <w:tcW w:type="dxa" w:w="1083"/>
            <w:vAlign w:val="center"/>
          </w:tcPr>
          <w:p>
            <w:r>
              <w:rPr>
                <w:sz w:val="16"/>
              </w:rPr>
              <w:t>-0.043 to 0.087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BA</w:t>
            </w:r>
          </w:p>
        </w:tc>
        <w:tc>
          <w:tcPr>
            <w:tcW w:type="dxa" w:w="1083"/>
            <w:vAlign w:val="center"/>
          </w:tcPr>
          <w:p>
            <w:r>
              <w:rPr>
                <w:sz w:val="16"/>
              </w:rPr>
              <w:t>0.475</w:t>
            </w:r>
          </w:p>
        </w:tc>
        <w:tc>
          <w:tcPr>
            <w:tcW w:type="dxa" w:w="1083"/>
            <w:vAlign w:val="center"/>
          </w:tcPr>
          <w:p>
            <w:r>
              <w:rPr>
                <w:sz w:val="16"/>
              </w:rPr>
              <w:t>0.516</w:t>
            </w:r>
          </w:p>
        </w:tc>
        <w:tc>
          <w:tcPr>
            <w:tcW w:type="dxa" w:w="1083"/>
            <w:vAlign w:val="center"/>
          </w:tcPr>
          <w:p>
            <w:r>
              <w:rPr>
                <w:sz w:val="16"/>
              </w:rPr>
              <w:t>0.041</w:t>
            </w:r>
          </w:p>
        </w:tc>
        <w:tc>
          <w:tcPr>
            <w:tcW w:type="dxa" w:w="1083"/>
            <w:vAlign w:val="center"/>
          </w:tcPr>
          <w:p>
            <w:r>
              <w:rPr>
                <w:sz w:val="16"/>
              </w:rPr>
              <w:t>-0.010 to 0.092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BA</w:t>
            </w:r>
          </w:p>
        </w:tc>
        <w:tc>
          <w:tcPr>
            <w:tcW w:type="dxa" w:w="1083"/>
            <w:vAlign w:val="center"/>
          </w:tcPr>
          <w:p>
            <w:r>
              <w:rPr>
                <w:sz w:val="16"/>
              </w:rPr>
              <w:t>0.428</w:t>
            </w:r>
          </w:p>
        </w:tc>
        <w:tc>
          <w:tcPr>
            <w:tcW w:type="dxa" w:w="1083"/>
            <w:vAlign w:val="center"/>
          </w:tcPr>
          <w:p>
            <w:r>
              <w:rPr>
                <w:sz w:val="16"/>
              </w:rPr>
              <w:t>0.445</w:t>
            </w:r>
          </w:p>
        </w:tc>
        <w:tc>
          <w:tcPr>
            <w:tcW w:type="dxa" w:w="1083"/>
            <w:vAlign w:val="center"/>
          </w:tcPr>
          <w:p>
            <w:r>
              <w:rPr>
                <w:sz w:val="16"/>
              </w:rPr>
              <w:t>0.017</w:t>
            </w:r>
          </w:p>
        </w:tc>
        <w:tc>
          <w:tcPr>
            <w:tcW w:type="dxa" w:w="1083"/>
            <w:vAlign w:val="center"/>
          </w:tcPr>
          <w:p>
            <w:r>
              <w:rPr>
                <w:sz w:val="16"/>
              </w:rPr>
              <w:t>-0.028 to 0.063</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Spearman</w:t>
            </w:r>
          </w:p>
        </w:tc>
        <w:tc>
          <w:tcPr>
            <w:tcW w:type="dxa" w:w="1083"/>
            <w:vAlign w:val="center"/>
          </w:tcPr>
          <w:p>
            <w:r>
              <w:rPr>
                <w:sz w:val="16"/>
              </w:rPr>
              <w:t>0.598</w:t>
            </w:r>
          </w:p>
        </w:tc>
        <w:tc>
          <w:tcPr>
            <w:tcW w:type="dxa" w:w="1083"/>
            <w:vAlign w:val="center"/>
          </w:tcPr>
          <w:p>
            <w:r>
              <w:rPr>
                <w:sz w:val="16"/>
              </w:rPr>
              <w:t>0.606</w:t>
            </w:r>
          </w:p>
        </w:tc>
        <w:tc>
          <w:tcPr>
            <w:tcW w:type="dxa" w:w="1083"/>
            <w:vAlign w:val="center"/>
          </w:tcPr>
          <w:p>
            <w:r>
              <w:rPr>
                <w:sz w:val="16"/>
              </w:rPr>
              <w:t>0.008</w:t>
            </w:r>
          </w:p>
        </w:tc>
        <w:tc>
          <w:tcPr>
            <w:tcW w:type="dxa" w:w="1083"/>
            <w:vAlign w:val="center"/>
          </w:tcPr>
          <w:p>
            <w:r>
              <w:rPr>
                <w:sz w:val="16"/>
              </w:rPr>
              <w:t>-0.008 to 0.023</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Spearman</w:t>
            </w:r>
          </w:p>
        </w:tc>
        <w:tc>
          <w:tcPr>
            <w:tcW w:type="dxa" w:w="1083"/>
            <w:vAlign w:val="center"/>
          </w:tcPr>
          <w:p>
            <w:r>
              <w:rPr>
                <w:sz w:val="16"/>
              </w:rPr>
              <w:t>0.486</w:t>
            </w:r>
          </w:p>
        </w:tc>
        <w:tc>
          <w:tcPr>
            <w:tcW w:type="dxa" w:w="1083"/>
            <w:vAlign w:val="center"/>
          </w:tcPr>
          <w:p>
            <w:r>
              <w:rPr>
                <w:sz w:val="16"/>
              </w:rPr>
              <w:t>0.512</w:t>
            </w:r>
          </w:p>
        </w:tc>
        <w:tc>
          <w:tcPr>
            <w:tcW w:type="dxa" w:w="1083"/>
            <w:vAlign w:val="center"/>
          </w:tcPr>
          <w:p>
            <w:r>
              <w:rPr>
                <w:sz w:val="16"/>
              </w:rPr>
              <w:t>0.026</w:t>
            </w:r>
          </w:p>
        </w:tc>
        <w:tc>
          <w:tcPr>
            <w:tcW w:type="dxa" w:w="1083"/>
            <w:vAlign w:val="center"/>
          </w:tcPr>
          <w:p>
            <w:r>
              <w:rPr>
                <w:sz w:val="16"/>
              </w:rPr>
              <w:t>0.011 to 0.042</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Spearman</w:t>
            </w:r>
          </w:p>
        </w:tc>
        <w:tc>
          <w:tcPr>
            <w:tcW w:type="dxa" w:w="1083"/>
            <w:vAlign w:val="center"/>
          </w:tcPr>
          <w:p>
            <w:r>
              <w:rPr>
                <w:sz w:val="16"/>
              </w:rPr>
              <w:t>0.488</w:t>
            </w:r>
          </w:p>
        </w:tc>
        <w:tc>
          <w:tcPr>
            <w:tcW w:type="dxa" w:w="1083"/>
            <w:vAlign w:val="center"/>
          </w:tcPr>
          <w:p>
            <w:r>
              <w:rPr>
                <w:sz w:val="16"/>
              </w:rPr>
              <w:t>0.485</w:t>
            </w:r>
          </w:p>
        </w:tc>
        <w:tc>
          <w:tcPr>
            <w:tcW w:type="dxa" w:w="1083"/>
            <w:vAlign w:val="center"/>
          </w:tcPr>
          <w:p>
            <w:r>
              <w:rPr>
                <w:sz w:val="16"/>
              </w:rPr>
              <w:t>-0.003</w:t>
            </w:r>
          </w:p>
        </w:tc>
        <w:tc>
          <w:tcPr>
            <w:tcW w:type="dxa" w:w="1083"/>
            <w:vAlign w:val="center"/>
          </w:tcPr>
          <w:p>
            <w:r>
              <w:rPr>
                <w:sz w:val="16"/>
              </w:rPr>
              <w:t>-0.017 to 0.013</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Spearman</w:t>
            </w:r>
          </w:p>
        </w:tc>
        <w:tc>
          <w:tcPr>
            <w:tcW w:type="dxa" w:w="1083"/>
            <w:vAlign w:val="center"/>
          </w:tcPr>
          <w:p>
            <w:r>
              <w:rPr>
                <w:sz w:val="16"/>
              </w:rPr>
              <w:t>0.300</w:t>
            </w:r>
          </w:p>
        </w:tc>
        <w:tc>
          <w:tcPr>
            <w:tcW w:type="dxa" w:w="1083"/>
            <w:vAlign w:val="center"/>
          </w:tcPr>
          <w:p>
            <w:r>
              <w:rPr>
                <w:sz w:val="16"/>
              </w:rPr>
              <w:t>0.320</w:t>
            </w:r>
          </w:p>
        </w:tc>
        <w:tc>
          <w:tcPr>
            <w:tcW w:type="dxa" w:w="1083"/>
            <w:vAlign w:val="center"/>
          </w:tcPr>
          <w:p>
            <w:r>
              <w:rPr>
                <w:sz w:val="16"/>
              </w:rPr>
              <w:t>0.020</w:t>
            </w:r>
          </w:p>
        </w:tc>
        <w:tc>
          <w:tcPr>
            <w:tcW w:type="dxa" w:w="1083"/>
            <w:vAlign w:val="center"/>
          </w:tcPr>
          <w:p>
            <w:r>
              <w:rPr>
                <w:sz w:val="16"/>
              </w:rPr>
              <w:t>0.002 to 0.038</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Spearman</w:t>
            </w:r>
          </w:p>
        </w:tc>
        <w:tc>
          <w:tcPr>
            <w:tcW w:type="dxa" w:w="1083"/>
            <w:vAlign w:val="center"/>
          </w:tcPr>
          <w:p>
            <w:r>
              <w:rPr>
                <w:sz w:val="16"/>
              </w:rPr>
              <w:t>0.500</w:t>
            </w:r>
          </w:p>
        </w:tc>
        <w:tc>
          <w:tcPr>
            <w:tcW w:type="dxa" w:w="1083"/>
            <w:vAlign w:val="center"/>
          </w:tcPr>
          <w:p>
            <w:r>
              <w:rPr>
                <w:sz w:val="16"/>
              </w:rPr>
              <w:t>0.518</w:t>
            </w:r>
          </w:p>
        </w:tc>
        <w:tc>
          <w:tcPr>
            <w:tcW w:type="dxa" w:w="1083"/>
            <w:vAlign w:val="center"/>
          </w:tcPr>
          <w:p>
            <w:r>
              <w:rPr>
                <w:sz w:val="16"/>
              </w:rPr>
              <w:t>0.019</w:t>
            </w:r>
          </w:p>
        </w:tc>
        <w:tc>
          <w:tcPr>
            <w:tcW w:type="dxa" w:w="1083"/>
            <w:vAlign w:val="center"/>
          </w:tcPr>
          <w:p>
            <w:r>
              <w:rPr>
                <w:sz w:val="16"/>
              </w:rPr>
              <w:t>0.000 to 0.036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Spearman</w:t>
            </w:r>
          </w:p>
        </w:tc>
        <w:tc>
          <w:tcPr>
            <w:tcW w:type="dxa" w:w="1083"/>
            <w:vAlign w:val="center"/>
          </w:tcPr>
          <w:p>
            <w:r>
              <w:rPr>
                <w:sz w:val="16"/>
              </w:rPr>
              <w:t>0.234</w:t>
            </w:r>
          </w:p>
        </w:tc>
        <w:tc>
          <w:tcPr>
            <w:tcW w:type="dxa" w:w="1083"/>
            <w:vAlign w:val="center"/>
          </w:tcPr>
          <w:p>
            <w:r>
              <w:rPr>
                <w:sz w:val="16"/>
              </w:rPr>
              <w:t>0.277</w:t>
            </w:r>
          </w:p>
        </w:tc>
        <w:tc>
          <w:tcPr>
            <w:tcW w:type="dxa" w:w="1083"/>
            <w:vAlign w:val="center"/>
          </w:tcPr>
          <w:p>
            <w:r>
              <w:rPr>
                <w:sz w:val="16"/>
              </w:rPr>
              <w:t>0.043</w:t>
            </w:r>
          </w:p>
        </w:tc>
        <w:tc>
          <w:tcPr>
            <w:tcW w:type="dxa" w:w="1083"/>
            <w:vAlign w:val="center"/>
          </w:tcPr>
          <w:p>
            <w:r>
              <w:rPr>
                <w:sz w:val="16"/>
              </w:rPr>
              <w:t>-0.013 to 0.100</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Spearman</w:t>
            </w:r>
          </w:p>
        </w:tc>
        <w:tc>
          <w:tcPr>
            <w:tcW w:type="dxa" w:w="1083"/>
            <w:vAlign w:val="center"/>
          </w:tcPr>
          <w:p>
            <w:r>
              <w:rPr>
                <w:sz w:val="16"/>
              </w:rPr>
              <w:t>0.206</w:t>
            </w:r>
          </w:p>
        </w:tc>
        <w:tc>
          <w:tcPr>
            <w:tcW w:type="dxa" w:w="1083"/>
            <w:vAlign w:val="center"/>
          </w:tcPr>
          <w:p>
            <w:r>
              <w:rPr>
                <w:sz w:val="16"/>
              </w:rPr>
              <w:t>0.049</w:t>
            </w:r>
          </w:p>
        </w:tc>
        <w:tc>
          <w:tcPr>
            <w:tcW w:type="dxa" w:w="1083"/>
            <w:vAlign w:val="center"/>
          </w:tcPr>
          <w:p>
            <w:r>
              <w:rPr>
                <w:sz w:val="16"/>
              </w:rPr>
              <w:t>-0.157</w:t>
            </w:r>
          </w:p>
        </w:tc>
        <w:tc>
          <w:tcPr>
            <w:tcW w:type="dxa" w:w="1083"/>
            <w:vAlign w:val="center"/>
          </w:tcPr>
          <w:p>
            <w:r>
              <w:rPr>
                <w:sz w:val="16"/>
              </w:rPr>
              <w:t>-0.227 to -0.083</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Spearman</w:t>
            </w:r>
          </w:p>
        </w:tc>
        <w:tc>
          <w:tcPr>
            <w:tcW w:type="dxa" w:w="1083"/>
            <w:vAlign w:val="center"/>
          </w:tcPr>
          <w:p>
            <w:r>
              <w:rPr>
                <w:sz w:val="16"/>
              </w:rPr>
              <w:t>0.039</w:t>
            </w:r>
          </w:p>
        </w:tc>
        <w:tc>
          <w:tcPr>
            <w:tcW w:type="dxa" w:w="1083"/>
            <w:vAlign w:val="center"/>
          </w:tcPr>
          <w:p>
            <w:r>
              <w:rPr>
                <w:sz w:val="16"/>
              </w:rPr>
              <w:t>0.023</w:t>
            </w:r>
          </w:p>
        </w:tc>
        <w:tc>
          <w:tcPr>
            <w:tcW w:type="dxa" w:w="1083"/>
            <w:vAlign w:val="center"/>
          </w:tcPr>
          <w:p>
            <w:r>
              <w:rPr>
                <w:sz w:val="16"/>
              </w:rPr>
              <w:t>-0.016</w:t>
            </w:r>
          </w:p>
        </w:tc>
        <w:tc>
          <w:tcPr>
            <w:tcW w:type="dxa" w:w="1083"/>
            <w:vAlign w:val="center"/>
          </w:tcPr>
          <w:p>
            <w:r>
              <w:rPr>
                <w:sz w:val="16"/>
              </w:rPr>
              <w:t>-0.049 to 0.017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Spearman</w:t>
            </w:r>
          </w:p>
        </w:tc>
        <w:tc>
          <w:tcPr>
            <w:tcW w:type="dxa" w:w="1083"/>
            <w:vAlign w:val="center"/>
          </w:tcPr>
          <w:p>
            <w:r>
              <w:rPr>
                <w:sz w:val="16"/>
              </w:rPr>
              <w:t>0.159</w:t>
            </w:r>
          </w:p>
        </w:tc>
        <w:tc>
          <w:tcPr>
            <w:tcW w:type="dxa" w:w="1083"/>
            <w:vAlign w:val="center"/>
          </w:tcPr>
          <w:p>
            <w:r>
              <w:rPr>
                <w:sz w:val="16"/>
              </w:rPr>
              <w:t>0.100</w:t>
            </w:r>
          </w:p>
        </w:tc>
        <w:tc>
          <w:tcPr>
            <w:tcW w:type="dxa" w:w="1083"/>
            <w:vAlign w:val="center"/>
          </w:tcPr>
          <w:p>
            <w:r>
              <w:rPr>
                <w:sz w:val="16"/>
              </w:rPr>
              <w:t>-0.059</w:t>
            </w:r>
          </w:p>
        </w:tc>
        <w:tc>
          <w:tcPr>
            <w:tcW w:type="dxa" w:w="1083"/>
            <w:vAlign w:val="center"/>
          </w:tcPr>
          <w:p>
            <w:r>
              <w:rPr>
                <w:sz w:val="16"/>
              </w:rPr>
              <w:t>-0.129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Spearman</w:t>
            </w:r>
          </w:p>
        </w:tc>
        <w:tc>
          <w:tcPr>
            <w:tcW w:type="dxa" w:w="1083"/>
            <w:vAlign w:val="center"/>
          </w:tcPr>
          <w:p>
            <w:r>
              <w:rPr>
                <w:sz w:val="16"/>
              </w:rPr>
              <w:t>0.050</w:t>
            </w:r>
          </w:p>
        </w:tc>
        <w:tc>
          <w:tcPr>
            <w:tcW w:type="dxa" w:w="1083"/>
            <w:vAlign w:val="center"/>
          </w:tcPr>
          <w:p>
            <w:r>
              <w:rPr>
                <w:sz w:val="16"/>
              </w:rPr>
              <w:t>-0.152</w:t>
            </w:r>
          </w:p>
        </w:tc>
        <w:tc>
          <w:tcPr>
            <w:tcW w:type="dxa" w:w="1083"/>
            <w:vAlign w:val="center"/>
          </w:tcPr>
          <w:p>
            <w:r>
              <w:rPr>
                <w:sz w:val="16"/>
              </w:rPr>
              <w:t>-0.202</w:t>
            </w:r>
          </w:p>
        </w:tc>
        <w:tc>
          <w:tcPr>
            <w:tcW w:type="dxa" w:w="1083"/>
            <w:vAlign w:val="center"/>
          </w:tcPr>
          <w:p>
            <w:r>
              <w:rPr>
                <w:sz w:val="16"/>
              </w:rPr>
              <w:t>-0.348 to -0.056</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Spearman</w:t>
            </w:r>
          </w:p>
        </w:tc>
        <w:tc>
          <w:tcPr>
            <w:tcW w:type="dxa" w:w="1083"/>
            <w:vAlign w:val="center"/>
          </w:tcPr>
          <w:p>
            <w:r>
              <w:rPr>
                <w:sz w:val="16"/>
              </w:rPr>
              <w:t>-0.033</w:t>
            </w:r>
          </w:p>
        </w:tc>
        <w:tc>
          <w:tcPr>
            <w:tcW w:type="dxa" w:w="1083"/>
            <w:vAlign w:val="center"/>
          </w:tcPr>
          <w:p>
            <w:r>
              <w:rPr>
                <w:sz w:val="16"/>
              </w:rPr>
              <w:t>-0.127</w:t>
            </w:r>
          </w:p>
        </w:tc>
        <w:tc>
          <w:tcPr>
            <w:tcW w:type="dxa" w:w="1083"/>
            <w:vAlign w:val="center"/>
          </w:tcPr>
          <w:p>
            <w:r>
              <w:rPr>
                <w:sz w:val="16"/>
              </w:rPr>
              <w:t>-0.094</w:t>
            </w:r>
          </w:p>
        </w:tc>
        <w:tc>
          <w:tcPr>
            <w:tcW w:type="dxa" w:w="1083"/>
            <w:vAlign w:val="center"/>
          </w:tcPr>
          <w:p>
            <w:r>
              <w:rPr>
                <w:sz w:val="16"/>
              </w:rPr>
              <w:t>-0.205 to 0.017</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Spearman</w:t>
            </w:r>
          </w:p>
        </w:tc>
        <w:tc>
          <w:tcPr>
            <w:tcW w:type="dxa" w:w="1083"/>
            <w:vAlign w:val="center"/>
          </w:tcPr>
          <w:p>
            <w:r>
              <w:rPr>
                <w:sz w:val="16"/>
              </w:rPr>
              <w:t>-0.075</w:t>
            </w:r>
          </w:p>
        </w:tc>
        <w:tc>
          <w:tcPr>
            <w:tcW w:type="dxa" w:w="1083"/>
            <w:vAlign w:val="center"/>
          </w:tcPr>
          <w:p>
            <w:r>
              <w:rPr>
                <w:sz w:val="16"/>
              </w:rPr>
              <w:t>-0.209</w:t>
            </w:r>
          </w:p>
        </w:tc>
        <w:tc>
          <w:tcPr>
            <w:tcW w:type="dxa" w:w="1083"/>
            <w:vAlign w:val="center"/>
          </w:tcPr>
          <w:p>
            <w:r>
              <w:rPr>
                <w:sz w:val="16"/>
              </w:rPr>
              <w:t>-0.133</w:t>
            </w:r>
          </w:p>
        </w:tc>
        <w:tc>
          <w:tcPr>
            <w:tcW w:type="dxa" w:w="1083"/>
            <w:vAlign w:val="center"/>
          </w:tcPr>
          <w:p>
            <w:r>
              <w:rPr>
                <w:sz w:val="16"/>
              </w:rPr>
              <w:t>-0.394 to 0.110</w:t>
            </w:r>
          </w:p>
        </w:tc>
        <w:tc>
          <w:tcPr>
            <w:tcW w:type="dxa" w:w="1083"/>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Screening-threshold 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derived immune-feature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Discussion - Limitations</w:t>
            </w:r>
          </w:p>
        </w:tc>
        <w:tc>
          <w:tcPr>
            <w:tcW w:type="dxa" w:w="2353"/>
            <w:vAlign w:val="center"/>
          </w:tcPr>
          <w:p>
            <w:r>
              <w:rPr>
                <w:sz w:val="16"/>
              </w:rPr>
              <w:t>No fairness intervention or subgroup evaluation; explicitly limited</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sectPr>
          <w:pgSz w:w="11906" w:h="16838"/>
          <w:pgMar w:top="1134" w:right="1247" w:bottom="1134" w:left="1247" w:header="720" w:footer="720" w:gutter="0"/>
          <w:cols w:space="720"/>
          <w:docGrid w:linePitch="360"/>
          <w:lnNumType w:countBy="1" w:restart="continuous"/>
          <w:lnNumType w:countBy="1" w:restart="continuous"/>
          <w:lnNumType w:countBy="1" w:restart="continuous"/>
        </w:sectPr>
      </w:pPr>
    </w:p>
    <w:p>
      <w:pPr>
        <w:pStyle w:val="Heading1"/>
      </w:pPr>
      <w:r>
        <w:t>Table S13. Endpoint provenance, derivation and assay equivalence</w:t>
      </w:r>
    </w:p>
    <w:p>
      <w:pPr>
        <w:pStyle w:val="Caption"/>
      </w:pPr>
      <w:r>
        <w:t>Panel A. High-level label-generation classes. 'Definitions' counts unique outcome type–family–endpoint combinations; tests are cancer-specific. The full 2,073-row target-level dictionary is the authoritative table and reports all requested fields for every target.</w:t>
      </w:r>
    </w:p>
    <w:tbl>
      <w:tblPr>
        <w:tblStyle w:val="TableGrid"/>
        <w:tblW w:type="auto" w:w="0"/>
        <w:jc w:val="center"/>
        <w:tblLook w:firstColumn="1" w:firstRow="1" w:lastColumn="0" w:lastRow="0" w:noHBand="0" w:noVBand="1" w:val="04A0"/>
      </w:tblPr>
      <w:tblGrid>
        <w:gridCol w:w="3784"/>
        <w:gridCol w:w="3784"/>
        <w:gridCol w:w="3784"/>
        <w:gridCol w:w="3784"/>
      </w:tblGrid>
      <w:tr>
        <w:trPr>
          <w:tblHeader w:val="true"/>
          <w:cantSplit/>
        </w:trPr>
        <w:tc>
          <w:tcPr>
            <w:tcW w:type="dxa" w:w="4535"/>
          </w:tcPr>
          <w:p>
            <w:r>
              <w:rPr>
                <w:b/>
                <w:sz w:val="17"/>
              </w:rPr>
              <w:t>Measurement class</w:t>
            </w:r>
          </w:p>
        </w:tc>
        <w:tc>
          <w:tcPr>
            <w:tcW w:type="dxa" w:w="2268"/>
          </w:tcPr>
          <w:p>
            <w:r>
              <w:rPr>
                <w:b/>
                <w:sz w:val="17"/>
              </w:rPr>
              <w:t>Cancer–endpoint tests</w:t>
            </w:r>
          </w:p>
        </w:tc>
        <w:tc>
          <w:tcPr>
            <w:tcW w:type="dxa" w:w="2268"/>
          </w:tcPr>
          <w:p>
            <w:r>
              <w:rPr>
                <w:b/>
                <w:sz w:val="17"/>
              </w:rPr>
              <w:t>Unique definitions</w:t>
            </w:r>
          </w:p>
        </w:tc>
        <w:tc>
          <w:tcPr>
            <w:tcW w:type="dxa" w:w="2551"/>
          </w:tcPr>
          <w:p>
            <w:r>
              <w:rPr>
                <w:b/>
                <w:sz w:val="17"/>
              </w:rPr>
              <w:t>Same-H&amp;E-modality tests</w:t>
            </w:r>
          </w:p>
        </w:tc>
      </w:tr>
      <w:tr>
        <w:trPr>
          <w:cantSplit/>
        </w:trPr>
        <w:tc>
          <w:tcPr>
            <w:tcW w:type="dxa" w:w="4535"/>
            <w:vAlign w:val="center"/>
          </w:tcPr>
          <w:p>
            <w:r>
              <w:rPr>
                <w:sz w:val="16"/>
              </w:rPr>
              <w:t>directly observed genomic alteration</w:t>
            </w:r>
          </w:p>
        </w:tc>
        <w:tc>
          <w:tcPr>
            <w:tcW w:type="dxa" w:w="2268"/>
            <w:vAlign w:val="center"/>
          </w:tcPr>
          <w:p>
            <w:r>
              <w:rPr>
                <w:sz w:val="16"/>
              </w:rPr>
              <w:t>265</w:t>
            </w:r>
          </w:p>
        </w:tc>
        <w:tc>
          <w:tcPr>
            <w:tcW w:type="dxa" w:w="2268"/>
            <w:vAlign w:val="center"/>
          </w:tcPr>
          <w:p>
            <w:r>
              <w:rPr>
                <w:sz w:val="16"/>
              </w:rPr>
              <w:t>125</w:t>
            </w:r>
          </w:p>
        </w:tc>
        <w:tc>
          <w:tcPr>
            <w:tcW w:type="dxa" w:w="2551"/>
            <w:vAlign w:val="center"/>
          </w:tcPr>
          <w:p>
            <w:r>
              <w:rPr>
                <w:sz w:val="16"/>
              </w:rPr>
              <w:t>0</w:t>
            </w:r>
          </w:p>
        </w:tc>
      </w:tr>
      <w:tr>
        <w:trPr>
          <w:cantSplit/>
        </w:trPr>
        <w:tc>
          <w:tcPr>
            <w:tcW w:type="dxa" w:w="4535"/>
            <w:vAlign w:val="center"/>
          </w:tcPr>
          <w:p>
            <w:r>
              <w:rPr>
                <w:sz w:val="16"/>
              </w:rPr>
              <w:t>sequencing-derived continuous burden</w:t>
            </w:r>
          </w:p>
        </w:tc>
        <w:tc>
          <w:tcPr>
            <w:tcW w:type="dxa" w:w="2268"/>
            <w:vAlign w:val="center"/>
          </w:tcPr>
          <w:p>
            <w:r>
              <w:rPr>
                <w:sz w:val="16"/>
              </w:rPr>
              <w:t>439</w:t>
            </w:r>
          </w:p>
        </w:tc>
        <w:tc>
          <w:tcPr>
            <w:tcW w:type="dxa" w:w="2268"/>
            <w:vAlign w:val="center"/>
          </w:tcPr>
          <w:p>
            <w:r>
              <w:rPr>
                <w:sz w:val="16"/>
              </w:rPr>
              <w:t>16</w:t>
            </w:r>
          </w:p>
        </w:tc>
        <w:tc>
          <w:tcPr>
            <w:tcW w:type="dxa" w:w="2551"/>
            <w:vAlign w:val="center"/>
          </w:tcPr>
          <w:p>
            <w:r>
              <w:rPr>
                <w:sz w:val="16"/>
              </w:rPr>
              <w:t>0</w:t>
            </w:r>
          </w:p>
        </w:tc>
      </w:tr>
      <w:tr>
        <w:trPr>
          <w:cantSplit/>
        </w:trPr>
        <w:tc>
          <w:tcPr>
            <w:tcW w:type="dxa" w:w="4535"/>
            <w:vAlign w:val="center"/>
          </w:tcPr>
          <w:p>
            <w:r>
              <w:rPr>
                <w:sz w:val="16"/>
              </w:rPr>
              <w:t>computationally inferred immune-cell fraction</w:t>
            </w:r>
          </w:p>
        </w:tc>
        <w:tc>
          <w:tcPr>
            <w:tcW w:type="dxa" w:w="2268"/>
            <w:vAlign w:val="center"/>
          </w:tcPr>
          <w:p>
            <w:r>
              <w:rPr>
                <w:sz w:val="16"/>
              </w:rPr>
              <w:t>685</w:t>
            </w:r>
          </w:p>
        </w:tc>
        <w:tc>
          <w:tcPr>
            <w:tcW w:type="dxa" w:w="2268"/>
            <w:vAlign w:val="center"/>
          </w:tcPr>
          <w:p>
            <w:r>
              <w:rPr>
                <w:sz w:val="16"/>
              </w:rPr>
              <w:t>23</w:t>
            </w:r>
          </w:p>
        </w:tc>
        <w:tc>
          <w:tcPr>
            <w:tcW w:type="dxa" w:w="2551"/>
            <w:vAlign w:val="center"/>
          </w:tcPr>
          <w:p>
            <w:r>
              <w:rPr>
                <w:sz w:val="16"/>
              </w:rPr>
              <w:t>0</w:t>
            </w:r>
          </w:p>
        </w:tc>
      </w:tr>
      <w:tr>
        <w:trPr>
          <w:cantSplit/>
        </w:trPr>
        <w:tc>
          <w:tcPr>
            <w:tcW w:type="dxa" w:w="4535"/>
            <w:vAlign w:val="center"/>
          </w:tcPr>
          <w:p>
            <w:r>
              <w:rPr>
                <w:sz w:val="16"/>
              </w:rPr>
              <w:t>transcriptomic signature</w:t>
            </w:r>
          </w:p>
        </w:tc>
        <w:tc>
          <w:tcPr>
            <w:tcW w:type="dxa" w:w="2268"/>
            <w:vAlign w:val="center"/>
          </w:tcPr>
          <w:p>
            <w:r>
              <w:rPr>
                <w:sz w:val="16"/>
              </w:rPr>
              <w:t>299</w:t>
            </w:r>
          </w:p>
        </w:tc>
        <w:tc>
          <w:tcPr>
            <w:tcW w:type="dxa" w:w="2268"/>
            <w:vAlign w:val="center"/>
          </w:tcPr>
          <w:p>
            <w:r>
              <w:rPr>
                <w:sz w:val="16"/>
              </w:rPr>
              <w:t>10</w:t>
            </w:r>
          </w:p>
        </w:tc>
        <w:tc>
          <w:tcPr>
            <w:tcW w:type="dxa" w:w="2551"/>
            <w:vAlign w:val="center"/>
          </w:tcPr>
          <w:p>
            <w:r>
              <w:rPr>
                <w:sz w:val="16"/>
              </w:rPr>
              <w:t>0</w:t>
            </w:r>
          </w:p>
        </w:tc>
      </w:tr>
      <w:tr>
        <w:trPr>
          <w:cantSplit/>
        </w:trPr>
        <w:tc>
          <w:tcPr>
            <w:tcW w:type="dxa" w:w="4535"/>
            <w:vAlign w:val="center"/>
          </w:tcPr>
          <w:p>
            <w:r>
              <w:rPr>
                <w:sz w:val="16"/>
              </w:rPr>
              <w:t>pathology-associated quantity</w:t>
            </w:r>
          </w:p>
        </w:tc>
        <w:tc>
          <w:tcPr>
            <w:tcW w:type="dxa" w:w="2268"/>
            <w:vAlign w:val="center"/>
          </w:tcPr>
          <w:p>
            <w:r>
              <w:rPr>
                <w:sz w:val="16"/>
              </w:rPr>
              <w:t>13</w:t>
            </w:r>
          </w:p>
        </w:tc>
        <w:tc>
          <w:tcPr>
            <w:tcW w:type="dxa" w:w="2268"/>
            <w:vAlign w:val="center"/>
          </w:tcPr>
          <w:p>
            <w:r>
              <w:rPr>
                <w:sz w:val="16"/>
              </w:rPr>
              <w:t>1</w:t>
            </w:r>
          </w:p>
        </w:tc>
        <w:tc>
          <w:tcPr>
            <w:tcW w:type="dxa" w:w="2551"/>
            <w:vAlign w:val="center"/>
          </w:tcPr>
          <w:p>
            <w:r>
              <w:rPr>
                <w:sz w:val="16"/>
              </w:rPr>
              <w:t>13</w:t>
            </w:r>
          </w:p>
        </w:tc>
      </w:tr>
      <w:tr>
        <w:trPr>
          <w:cantSplit/>
        </w:trPr>
        <w:tc>
          <w:tcPr>
            <w:tcW w:type="dxa" w:w="4535"/>
            <w:vAlign w:val="center"/>
          </w:tcPr>
          <w:p>
            <w:r>
              <w:rPr>
                <w:sz w:val="16"/>
              </w:rPr>
              <w:t>composite genomic-context score</w:t>
            </w:r>
          </w:p>
        </w:tc>
        <w:tc>
          <w:tcPr>
            <w:tcW w:type="dxa" w:w="2268"/>
            <w:vAlign w:val="center"/>
          </w:tcPr>
          <w:p>
            <w:r>
              <w:rPr>
                <w:sz w:val="16"/>
              </w:rPr>
              <w:t>372</w:t>
            </w:r>
          </w:p>
        </w:tc>
        <w:tc>
          <w:tcPr>
            <w:tcW w:type="dxa" w:w="2268"/>
            <w:vAlign w:val="center"/>
          </w:tcPr>
          <w:p>
            <w:r>
              <w:rPr>
                <w:sz w:val="16"/>
              </w:rPr>
              <w:t>19</w:t>
            </w:r>
          </w:p>
        </w:tc>
        <w:tc>
          <w:tcPr>
            <w:tcW w:type="dxa" w:w="2551"/>
            <w:vAlign w:val="center"/>
          </w:tcPr>
          <w:p>
            <w:r>
              <w:rPr>
                <w:sz w:val="16"/>
              </w:rPr>
              <w:t>0</w:t>
            </w:r>
          </w:p>
        </w:tc>
      </w:tr>
    </w:tbl>
    <w:p/>
    <w:p>
      <w:pPr>
        <w:pStyle w:val="Caption"/>
      </w:pPr>
      <w:r>
        <w:t>Panel B. Compact derivation-group view. Expected measurement error, biological interpretation, transformation, missingness and source reference remain target-specific in endpoint_dictionary.csv and endpoint_definition_dictionary.csv.</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2268"/>
          </w:tcPr>
          <w:p>
            <w:r>
              <w:rPr>
                <w:b/>
                <w:sz w:val="17"/>
              </w:rPr>
              <w:t>Definition group</w:t>
            </w:r>
          </w:p>
        </w:tc>
        <w:tc>
          <w:tcPr>
            <w:tcW w:type="dxa" w:w="2381"/>
          </w:tcPr>
          <w:p>
            <w:r>
              <w:rPr>
                <w:b/>
                <w:sz w:val="17"/>
              </w:rPr>
              <w:t>Measurement class</w:t>
            </w:r>
          </w:p>
        </w:tc>
        <w:tc>
          <w:tcPr>
            <w:tcW w:type="dxa" w:w="1247"/>
          </w:tcPr>
          <w:p>
            <w:r>
              <w:rPr>
                <w:b/>
                <w:sz w:val="17"/>
              </w:rPr>
              <w:t>Tests/definitions</w:t>
            </w:r>
          </w:p>
        </w:tc>
        <w:tc>
          <w:tcPr>
            <w:tcW w:type="dxa" w:w="2835"/>
          </w:tcPr>
          <w:p>
            <w:r>
              <w:rPr>
                <w:b/>
                <w:sz w:val="17"/>
              </w:rPr>
              <w:t>Source modality</w:t>
            </w:r>
          </w:p>
        </w:tc>
        <w:tc>
          <w:tcPr>
            <w:tcW w:type="dxa" w:w="2608"/>
          </w:tcPr>
          <w:p>
            <w:r>
              <w:rPr>
                <w:b/>
                <w:sz w:val="17"/>
              </w:rPr>
              <w:t>Direct/inferred</w:t>
            </w:r>
          </w:p>
        </w:tc>
        <w:tc>
          <w:tcPr>
            <w:tcW w:type="dxa" w:w="4649"/>
          </w:tcPr>
          <w:p>
            <w:r>
              <w:rPr>
                <w:b/>
                <w:sz w:val="17"/>
              </w:rPr>
              <w:t>Derivation and source scale</w:t>
            </w:r>
          </w:p>
        </w:tc>
        <w:tc>
          <w:tcPr>
            <w:tcW w:type="dxa" w:w="3402"/>
          </w:tcPr>
          <w:p>
            <w:r>
              <w:rPr>
                <w:b/>
                <w:sz w:val="17"/>
              </w:rPr>
              <w:t>Assay-equivalence caveat</w:t>
            </w:r>
          </w:p>
        </w:tc>
      </w:tr>
      <w:tr>
        <w:trPr>
          <w:cantSplit/>
        </w:trPr>
        <w:tc>
          <w:tcPr>
            <w:tcW w:type="dxa" w:w="2268"/>
            <w:vAlign w:val="center"/>
          </w:tcPr>
          <w:p>
            <w:r>
              <w:rPr>
                <w:sz w:val="16"/>
              </w:rPr>
              <w:t>Any fusion call</w:t>
            </w:r>
          </w:p>
        </w:tc>
        <w:tc>
          <w:tcPr>
            <w:tcW w:type="dxa" w:w="2381"/>
            <w:vAlign w:val="center"/>
          </w:tcPr>
          <w:p>
            <w:r>
              <w:rPr>
                <w:sz w:val="16"/>
              </w:rPr>
              <w:t>directly observed genomic alteration</w:t>
            </w:r>
          </w:p>
        </w:tc>
        <w:tc>
          <w:tcPr>
            <w:tcW w:type="dxa" w:w="1247"/>
            <w:vAlign w:val="center"/>
          </w:tcPr>
          <w:p>
            <w:r>
              <w:rPr>
                <w:sz w:val="16"/>
              </w:rPr>
              <w:t>25/1</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Arm-level aneuploidy burden</w:t>
            </w:r>
          </w:p>
        </w:tc>
        <w:tc>
          <w:tcPr>
            <w:tcW w:type="dxa" w:w="2381"/>
            <w:vAlign w:val="center"/>
          </w:tcPr>
          <w:p>
            <w:r>
              <w:rPr>
                <w:sz w:val="16"/>
              </w:rPr>
              <w:t>sequencing-derived continuous burden</w:t>
            </w:r>
          </w:p>
        </w:tc>
        <w:tc>
          <w:tcPr>
            <w:tcW w:type="dxa" w:w="1247"/>
            <w:vAlign w:val="center"/>
          </w:tcPr>
          <w:p>
            <w:r>
              <w:rPr>
                <w:sz w:val="16"/>
              </w:rPr>
              <w:t>90/3</w:t>
            </w:r>
          </w:p>
        </w:tc>
        <w:tc>
          <w:tcPr>
            <w:tcW w:type="dxa" w:w="2835"/>
            <w:vAlign w:val="center"/>
          </w:tcPr>
          <w:p>
            <w:r>
              <w:rPr>
                <w:sz w:val="16"/>
              </w:rPr>
              <w:t>Allele-specific copy-number profiles</w:t>
            </w:r>
          </w:p>
        </w:tc>
        <w:tc>
          <w:tcPr>
            <w:tcW w:type="dxa" w:w="2608"/>
            <w:vAlign w:val="center"/>
          </w:tcPr>
          <w:p>
            <w:r>
              <w:rPr>
                <w:sz w:val="16"/>
              </w:rPr>
              <w:t>Computationally derived burden</w:t>
            </w:r>
          </w:p>
        </w:tc>
        <w:tc>
          <w:tcPr>
            <w:tcW w:type="dxa" w:w="4649"/>
            <w:vAlign w:val="center"/>
          </w:tcPr>
          <w:p>
            <w:r>
              <w:rPr>
                <w:sz w:val="16"/>
              </w:rPr>
              <w:t>Taylor et al. arm-level gain/loss scoring; continuous values are averaged across finite primary aliquots; scale: Non-negative arm count</w:t>
            </w:r>
          </w:p>
        </w:tc>
        <w:tc>
          <w:tcPr>
            <w:tcW w:type="dxa" w:w="3402"/>
            <w:vAlign w:val="center"/>
          </w:tcPr>
          <w:p>
            <w:r>
              <w:rPr>
                <w:sz w:val="16"/>
              </w:rPr>
              <w:t>Research computational burden, not a directly measured cell count</w:t>
            </w:r>
          </w:p>
        </w:tc>
      </w:tr>
      <w:tr>
        <w:trPr>
          <w:cantSplit/>
        </w:trPr>
        <w:tc>
          <w:tcPr>
            <w:tcW w:type="dxa" w:w="2268"/>
            <w:vAlign w:val="center"/>
          </w:tcPr>
          <w:p>
            <w:r>
              <w:rPr>
                <w:sz w:val="16"/>
              </w:rPr>
              <w:t>CIBERSORT immune-cell fraction</w:t>
            </w:r>
          </w:p>
        </w:tc>
        <w:tc>
          <w:tcPr>
            <w:tcW w:type="dxa" w:w="2381"/>
            <w:vAlign w:val="center"/>
          </w:tcPr>
          <w:p>
            <w:r>
              <w:rPr>
                <w:sz w:val="16"/>
              </w:rPr>
              <w:t>computationally inferred immune-cell fraction</w:t>
            </w:r>
          </w:p>
        </w:tc>
        <w:tc>
          <w:tcPr>
            <w:tcW w:type="dxa" w:w="1247"/>
            <w:vAlign w:val="center"/>
          </w:tcPr>
          <w:p>
            <w:r>
              <w:rPr>
                <w:sz w:val="16"/>
              </w:rPr>
              <w:t>656/22</w:t>
            </w:r>
          </w:p>
        </w:tc>
        <w:tc>
          <w:tcPr>
            <w:tcW w:type="dxa" w:w="2835"/>
            <w:vAlign w:val="center"/>
          </w:tcPr>
          <w:p>
            <w:r>
              <w:rPr>
                <w:sz w:val="16"/>
              </w:rPr>
              <w:t>Bulk-tumour RNA sequencing</w:t>
            </w:r>
          </w:p>
        </w:tc>
        <w:tc>
          <w:tcPr>
            <w:tcW w:type="dxa" w:w="2608"/>
            <w:vAlign w:val="center"/>
          </w:tcPr>
          <w:p>
            <w:r>
              <w:rPr>
                <w:sz w:val="16"/>
              </w:rPr>
              <w:t>Computationally inferred</w:t>
            </w:r>
          </w:p>
        </w:tc>
        <w:tc>
          <w:tcPr>
            <w:tcW w:type="dxa" w:w="4649"/>
            <w:vAlign w:val="center"/>
          </w:tcPr>
          <w:p>
            <w:r>
              <w:rPr>
                <w:sz w:val="16"/>
              </w:rPr>
              <w:t>CIBERSORT deconvolution with the LM22 leukocyte signature; relative fraction within the inferred leukocyte compartment; scale: Relative proportion, approximately 0–1</w:t>
            </w:r>
          </w:p>
        </w:tc>
        <w:tc>
          <w:tcPr>
            <w:tcW w:type="dxa" w:w="3402"/>
            <w:vAlign w:val="center"/>
          </w:tcPr>
          <w:p>
            <w:r>
              <w:rPr>
                <w:sz w:val="16"/>
              </w:rPr>
              <w:t>Not equivalent to flow cytometry, IHC or a direct cell count</w:t>
            </w:r>
          </w:p>
        </w:tc>
      </w:tr>
      <w:tr>
        <w:trPr>
          <w:cantSplit/>
        </w:trPr>
        <w:tc>
          <w:tcPr>
            <w:tcW w:type="dxa" w:w="2268"/>
            <w:vAlign w:val="center"/>
          </w:tcPr>
          <w:p>
            <w:r>
              <w:rPr>
                <w:sz w:val="16"/>
              </w:rPr>
              <w:t>Fusion burden</w:t>
            </w:r>
          </w:p>
        </w:tc>
        <w:tc>
          <w:tcPr>
            <w:tcW w:type="dxa" w:w="2381"/>
            <w:vAlign w:val="center"/>
          </w:tcPr>
          <w:p>
            <w:r>
              <w:rPr>
                <w:sz w:val="16"/>
              </w:rPr>
              <w:t>sequencing-derived continuous burden</w:t>
            </w:r>
          </w:p>
        </w:tc>
        <w:tc>
          <w:tcPr>
            <w:tcW w:type="dxa" w:w="1247"/>
            <w:vAlign w:val="center"/>
          </w:tcPr>
          <w:p>
            <w:r>
              <w:rPr>
                <w:sz w:val="16"/>
              </w:rPr>
              <w:t>30/1</w:t>
            </w:r>
          </w:p>
        </w:tc>
        <w:tc>
          <w:tcPr>
            <w:tcW w:type="dxa" w:w="2835"/>
            <w:vAlign w:val="center"/>
          </w:tcPr>
          <w:p>
            <w:r>
              <w:rPr>
                <w:sz w:val="16"/>
              </w:rPr>
              <w:t>Tumour RNA sequencing</w:t>
            </w:r>
          </w:p>
        </w:tc>
        <w:tc>
          <w:tcPr>
            <w:tcW w:type="dxa" w:w="2608"/>
            <w:vAlign w:val="center"/>
          </w:tcPr>
          <w:p>
            <w:r>
              <w:rPr>
                <w:sz w:val="16"/>
              </w:rPr>
              <w:t>Computational fusion calls collapsed to a count</w:t>
            </w:r>
          </w:p>
        </w:tc>
        <w:tc>
          <w:tcPr>
            <w:tcW w:type="dxa" w:w="4649"/>
            <w:vAlign w:val="center"/>
          </w:tcPr>
          <w:p>
            <w:r>
              <w:rPr>
                <w:sz w:val="16"/>
              </w:rPr>
              <w:t>Number of unique Gao et al. final-call-set fusions among covered samples; zero requires inclusion in the study sample list and no retained call; scale: Non-negative unique-fusion count</w:t>
            </w:r>
          </w:p>
        </w:tc>
        <w:tc>
          <w:tcPr>
            <w:tcW w:type="dxa" w:w="3402"/>
            <w:vAlign w:val="center"/>
          </w:tcPr>
          <w:p>
            <w:r>
              <w:rPr>
                <w:sz w:val="16"/>
              </w:rPr>
              <w:t>Research RNA-seq call burden, not a targeted clinical fusion assay</w:t>
            </w:r>
          </w:p>
        </w:tc>
      </w:tr>
      <w:tr>
        <w:trPr>
          <w:cantSplit/>
        </w:trPr>
        <w:tc>
          <w:tcPr>
            <w:tcW w:type="dxa" w:w="2268"/>
            <w:vAlign w:val="center"/>
          </w:tcPr>
          <w:p>
            <w:r>
              <w:rPr>
                <w:sz w:val="16"/>
              </w:rPr>
              <w:t>Gene-specific somatic mutation</w:t>
            </w:r>
          </w:p>
        </w:tc>
        <w:tc>
          <w:tcPr>
            <w:tcW w:type="dxa" w:w="2381"/>
            <w:vAlign w:val="center"/>
          </w:tcPr>
          <w:p>
            <w:r>
              <w:rPr>
                <w:sz w:val="16"/>
              </w:rPr>
              <w:t>directly observed genomic alteration</w:t>
            </w:r>
          </w:p>
        </w:tc>
        <w:tc>
          <w:tcPr>
            <w:tcW w:type="dxa" w:w="1247"/>
            <w:vAlign w:val="center"/>
          </w:tcPr>
          <w:p>
            <w:r>
              <w:rPr>
                <w:sz w:val="16"/>
              </w:rPr>
              <w:t>238/122</w:t>
            </w:r>
          </w:p>
        </w:tc>
        <w:tc>
          <w:tcPr>
            <w:tcW w:type="dxa" w:w="2835"/>
            <w:vAlign w:val="center"/>
          </w:tcPr>
          <w:p>
            <w:r>
              <w:rPr>
                <w:sz w:val="16"/>
              </w:rPr>
              <w:t>Tumour DNA sequencing (MC3 consensus somatic calls)</w:t>
            </w:r>
          </w:p>
        </w:tc>
        <w:tc>
          <w:tcPr>
            <w:tcW w:type="dxa" w:w="2608"/>
            <w:vAlign w:val="center"/>
          </w:tcPr>
          <w:p>
            <w:r>
              <w:rPr>
                <w:sz w:val="16"/>
              </w:rPr>
              <w:t>Sequence-supported alteration call; computationally called</w:t>
            </w:r>
          </w:p>
        </w:tc>
        <w:tc>
          <w:tcPr>
            <w:tcW w:type="dxa" w:w="4649"/>
            <w:vAlign w:val="center"/>
          </w:tcPr>
          <w:p>
            <w:r>
              <w:rPr>
                <w:sz w:val="16"/>
              </w:rPr>
              <w:t>MC3 consensus PASS call restricted to nine protein-altering variant classes; wild type requires a matched primary-tumour MC3 profile; scale: Binary 0/1 per gene</w:t>
            </w:r>
          </w:p>
        </w:tc>
        <w:tc>
          <w:tcPr>
            <w:tcW w:type="dxa" w:w="3402"/>
            <w:vAlign w:val="center"/>
          </w:tcPr>
          <w:p>
            <w:r>
              <w:rPr>
                <w:sz w:val="16"/>
              </w:rPr>
              <w:t>Research sequencing call, not a clinically certified companion-diagnostic assay</w:t>
            </w:r>
          </w:p>
        </w:tc>
      </w:tr>
      <w:tr>
        <w:trPr>
          <w:cantSplit/>
        </w:trPr>
        <w:tc>
          <w:tcPr>
            <w:tcW w:type="dxa" w:w="2268"/>
            <w:vAlign w:val="center"/>
          </w:tcPr>
          <w:p>
            <w:r>
              <w:rPr>
                <w:sz w:val="16"/>
              </w:rPr>
              <w:t>Genome-doubling call</w:t>
            </w:r>
          </w:p>
        </w:tc>
        <w:tc>
          <w:tcPr>
            <w:tcW w:type="dxa" w:w="2381"/>
            <w:vAlign w:val="center"/>
          </w:tcPr>
          <w:p>
            <w:r>
              <w:rPr>
                <w:sz w:val="16"/>
              </w:rPr>
              <w:t>composite genomic-context score</w:t>
            </w:r>
          </w:p>
        </w:tc>
        <w:tc>
          <w:tcPr>
            <w:tcW w:type="dxa" w:w="1247"/>
            <w:vAlign w:val="center"/>
          </w:tcPr>
          <w:p>
            <w:r>
              <w:rPr>
                <w:sz w:val="16"/>
              </w:rPr>
              <w:t>22/1</w:t>
            </w:r>
          </w:p>
        </w:tc>
        <w:tc>
          <w:tcPr>
            <w:tcW w:type="dxa" w:w="2835"/>
            <w:vAlign w:val="center"/>
          </w:tcPr>
          <w:p>
            <w:r>
              <w:rPr>
                <w:sz w:val="16"/>
              </w:rPr>
              <w:t>Allele-specific copy-number profiles</w:t>
            </w:r>
          </w:p>
        </w:tc>
        <w:tc>
          <w:tcPr>
            <w:tcW w:type="dxa" w:w="2608"/>
            <w:vAlign w:val="center"/>
          </w:tcPr>
          <w:p>
            <w:r>
              <w:rPr>
                <w:sz w:val="16"/>
              </w:rPr>
              <w:t>Computationally inferred whole-genome-doubling status</w:t>
            </w:r>
          </w:p>
        </w:tc>
        <w:tc>
          <w:tcPr>
            <w:tcW w:type="dxa" w:w="4649"/>
            <w:vAlign w:val="center"/>
          </w:tcPr>
          <w:p>
            <w:r>
              <w:rPr>
                <w:sz w:val="16"/>
              </w:rPr>
              <w:t>Taylor et al. genome-doubling call from allele-specific copy-number/ploidy analysis; any positive primary aliquot defines patient positivity; scale: Binary 0/1</w:t>
            </w:r>
          </w:p>
        </w:tc>
        <w:tc>
          <w:tcPr>
            <w:tcW w:type="dxa" w:w="3402"/>
            <w:vAlign w:val="center"/>
          </w:tcPr>
          <w:p>
            <w:r>
              <w:rPr>
                <w:sz w:val="16"/>
              </w:rPr>
              <w:t>Research copy-number inference, not a directly observed karyotype</w:t>
            </w:r>
          </w:p>
        </w:tc>
      </w:tr>
      <w:tr>
        <w:trPr>
          <w:cantSplit/>
        </w:trPr>
        <w:tc>
          <w:tcPr>
            <w:tcW w:type="dxa" w:w="2268"/>
            <w:vAlign w:val="center"/>
          </w:tcPr>
          <w:p>
            <w:r>
              <w:rPr>
                <w:sz w:val="16"/>
              </w:rPr>
              <w:t>Genomic-context score</w:t>
            </w:r>
          </w:p>
        </w:tc>
        <w:tc>
          <w:tcPr>
            <w:tcW w:type="dxa" w:w="2381"/>
            <w:vAlign w:val="center"/>
          </w:tcPr>
          <w:p>
            <w:r>
              <w:rPr>
                <w:sz w:val="16"/>
              </w:rPr>
              <w:t>composite genomic-context score</w:t>
            </w:r>
          </w:p>
        </w:tc>
        <w:tc>
          <w:tcPr>
            <w:tcW w:type="dxa" w:w="1247"/>
            <w:vAlign w:val="center"/>
          </w:tcPr>
          <w:p>
            <w:r>
              <w:rPr>
                <w:sz w:val="16"/>
              </w:rPr>
              <w:t>120/4</w:t>
            </w:r>
          </w:p>
        </w:tc>
        <w:tc>
          <w:tcPr>
            <w:tcW w:type="dxa" w:w="2835"/>
            <w:vAlign w:val="center"/>
          </w:tcPr>
          <w:p>
            <w:r>
              <w:rPr>
                <w:sz w:val="16"/>
              </w:rPr>
              <w:t>Somatic copy-number and/or variant profiles</w:t>
            </w:r>
          </w:p>
        </w:tc>
        <w:tc>
          <w:tcPr>
            <w:tcW w:type="dxa" w:w="2608"/>
            <w:vAlign w:val="center"/>
          </w:tcPr>
          <w:p>
            <w:r>
              <w:rPr>
                <w:sz w:val="16"/>
              </w:rPr>
              <w:t>Computationally derived</w:t>
            </w:r>
          </w:p>
        </w:tc>
        <w:tc>
          <w:tcPr>
            <w:tcW w:type="dxa" w:w="4649"/>
            <w:vAlign w:val="center"/>
          </w:tcPr>
          <w:p>
            <w:r>
              <w:rPr>
                <w:sz w:val="16"/>
              </w:rPr>
              <w:t>PanCancer genomic-context feature compiled by Thorsson et al.; exact source definition is retained in the PanImmune feature matrix; scale: Non-negative source score/count</w:t>
            </w:r>
          </w:p>
        </w:tc>
        <w:tc>
          <w:tcPr>
            <w:tcW w:type="dxa" w:w="3402"/>
            <w:vAlign w:val="center"/>
          </w:tcPr>
          <w:p>
            <w:r>
              <w:rPr>
                <w:sz w:val="16"/>
              </w:rPr>
              <w:t>Research computational score, not a direct laboratory measurement</w:t>
            </w:r>
          </w:p>
        </w:tc>
      </w:tr>
      <w:tr>
        <w:trPr>
          <w:cantSplit/>
        </w:trPr>
        <w:tc>
          <w:tcPr>
            <w:tcW w:type="dxa" w:w="2268"/>
            <w:vAlign w:val="center"/>
          </w:tcPr>
          <w:p>
            <w:r>
              <w:rPr>
                <w:sz w:val="16"/>
              </w:rPr>
              <w:t>H&amp;E-derived TIL regional fraction</w:t>
            </w:r>
          </w:p>
        </w:tc>
        <w:tc>
          <w:tcPr>
            <w:tcW w:type="dxa" w:w="2381"/>
            <w:vAlign w:val="center"/>
          </w:tcPr>
          <w:p>
            <w:r>
              <w:rPr>
                <w:sz w:val="16"/>
              </w:rPr>
              <w:t>pathology-associated quantity</w:t>
            </w:r>
          </w:p>
        </w:tc>
        <w:tc>
          <w:tcPr>
            <w:tcW w:type="dxa" w:w="1247"/>
            <w:vAlign w:val="center"/>
          </w:tcPr>
          <w:p>
            <w:r>
              <w:rPr>
                <w:sz w:val="16"/>
              </w:rPr>
              <w:t>13/1</w:t>
            </w:r>
          </w:p>
        </w:tc>
        <w:tc>
          <w:tcPr>
            <w:tcW w:type="dxa" w:w="2835"/>
            <w:vAlign w:val="center"/>
          </w:tcPr>
          <w:p>
            <w:r>
              <w:rPr>
                <w:sz w:val="16"/>
              </w:rPr>
              <w:t>Digitised H&amp;E whole-slide image</w:t>
            </w:r>
          </w:p>
        </w:tc>
        <w:tc>
          <w:tcPr>
            <w:tcW w:type="dxa" w:w="2608"/>
            <w:vAlign w:val="center"/>
          </w:tcPr>
          <w:p>
            <w:r>
              <w:rPr>
                <w:sz w:val="16"/>
              </w:rPr>
              <w:t>Computationally inferred from histology</w:t>
            </w:r>
          </w:p>
        </w:tc>
        <w:tc>
          <w:tcPr>
            <w:tcW w:type="dxa" w:w="4649"/>
            <w:vAlign w:val="center"/>
          </w:tcPr>
          <w:p>
            <w:r>
              <w:rPr>
                <w:sz w:val="16"/>
              </w:rPr>
              <w:t>Saltz et al. deep-learning TIL map; fraction of tissue 50×50-µm regions classified as TIL-positive; scale: Percentage of analysed tissue regions</w:t>
            </w:r>
          </w:p>
        </w:tc>
        <w:tc>
          <w:tcPr>
            <w:tcW w:type="dxa" w:w="3402"/>
            <w:vAlign w:val="center"/>
          </w:tcPr>
          <w:p>
            <w:r>
              <w:rPr>
                <w:sz w:val="16"/>
              </w:rPr>
              <w:t>Same-modality concordance target: predicting it from TITAN H&amp;E representations is not cross-modal molecular prediction or a directly counted TIL assay</w:t>
            </w:r>
          </w:p>
        </w:tc>
      </w:tr>
      <w:tr>
        <w:trPr>
          <w:cantSplit/>
        </w:trPr>
        <w:tc>
          <w:tcPr>
            <w:tcW w:type="dxa" w:w="2268"/>
            <w:vAlign w:val="center"/>
          </w:tcPr>
          <w:p>
            <w:r>
              <w:rPr>
                <w:sz w:val="16"/>
              </w:rPr>
              <w:t>Immune-repertoire diversity</w:t>
            </w:r>
          </w:p>
        </w:tc>
        <w:tc>
          <w:tcPr>
            <w:tcW w:type="dxa" w:w="2381"/>
            <w:vAlign w:val="center"/>
          </w:tcPr>
          <w:p>
            <w:r>
              <w:rPr>
                <w:sz w:val="16"/>
              </w:rPr>
              <w:t>sequencing-derived continuous burden</w:t>
            </w:r>
          </w:p>
        </w:tc>
        <w:tc>
          <w:tcPr>
            <w:tcW w:type="dxa" w:w="1247"/>
            <w:vAlign w:val="center"/>
          </w:tcPr>
          <w:p>
            <w:r>
              <w:rPr>
                <w:sz w:val="16"/>
              </w:rPr>
              <w:t>147/6</w:t>
            </w:r>
          </w:p>
        </w:tc>
        <w:tc>
          <w:tcPr>
            <w:tcW w:type="dxa" w:w="2835"/>
            <w:vAlign w:val="center"/>
          </w:tcPr>
          <w:p>
            <w:r>
              <w:rPr>
                <w:sz w:val="16"/>
              </w:rPr>
              <w:t>Unselected bulk-tumour RNA sequencing</w:t>
            </w:r>
          </w:p>
        </w:tc>
        <w:tc>
          <w:tcPr>
            <w:tcW w:type="dxa" w:w="2608"/>
            <w:vAlign w:val="center"/>
          </w:tcPr>
          <w:p>
            <w:r>
              <w:rPr>
                <w:sz w:val="16"/>
              </w:rPr>
              <w:t>Computationally reconstructed repertoire metric</w:t>
            </w:r>
          </w:p>
        </w:tc>
        <w:tc>
          <w:tcPr>
            <w:tcW w:type="dxa" w:w="4649"/>
            <w:vAlign w:val="center"/>
          </w:tcPr>
          <w:p>
            <w:r>
              <w:rPr>
                <w:sz w:val="16"/>
              </w:rPr>
              <w:t>BCR/TCR CDR3 reconstruction from RNA-seq followed by richness, Shannon or evenness calculation as supplied by Thorsson et al.; scale: Non-negative reconstructed-clonotype count</w:t>
            </w:r>
          </w:p>
        </w:tc>
        <w:tc>
          <w:tcPr>
            <w:tcW w:type="dxa" w:w="3402"/>
            <w:vAlign w:val="center"/>
          </w:tcPr>
          <w:p>
            <w:r>
              <w:rPr>
                <w:sz w:val="16"/>
              </w:rPr>
              <w:t>Not equivalent to targeted BCR/TCR sequencing or direct lymphocyte counts</w:t>
            </w:r>
          </w:p>
        </w:tc>
      </w:tr>
      <w:tr>
        <w:trPr>
          <w:cantSplit/>
        </w:trPr>
        <w:tc>
          <w:tcPr>
            <w:tcW w:type="dxa" w:w="2268"/>
            <w:vAlign w:val="center"/>
          </w:tcPr>
          <w:p>
            <w:r>
              <w:rPr>
                <w:sz w:val="16"/>
              </w:rPr>
              <w:t>Intratumour-heterogeneity score</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Somatic variant/copy-number profiles</w:t>
            </w:r>
          </w:p>
        </w:tc>
        <w:tc>
          <w:tcPr>
            <w:tcW w:type="dxa" w:w="2608"/>
            <w:vAlign w:val="center"/>
          </w:tcPr>
          <w:p>
            <w:r>
              <w:rPr>
                <w:sz w:val="16"/>
              </w:rPr>
              <w:t>Computationally inferred</w:t>
            </w:r>
          </w:p>
        </w:tc>
        <w:tc>
          <w:tcPr>
            <w:tcW w:type="dxa" w:w="4649"/>
            <w:vAlign w:val="center"/>
          </w:tcPr>
          <w:p>
            <w:r>
              <w:rPr>
                <w:sz w:val="16"/>
              </w:rPr>
              <w:t>ABSOLUTE-derived subclonal heterogeneity measure compiled by Thorsson et al.; scale: Source heterogeneity score</w:t>
            </w:r>
          </w:p>
        </w:tc>
        <w:tc>
          <w:tcPr>
            <w:tcW w:type="dxa" w:w="3402"/>
            <w:vAlign w:val="center"/>
          </w:tcPr>
          <w:p>
            <w:r>
              <w:rPr>
                <w:sz w:val="16"/>
              </w:rPr>
              <w:t>Not a direct spatial or single-cell heterogeneity measurement</w:t>
            </w:r>
          </w:p>
        </w:tc>
      </w:tr>
      <w:tr>
        <w:trPr>
          <w:cantSplit/>
        </w:trPr>
        <w:tc>
          <w:tcPr>
            <w:tcW w:type="dxa" w:w="2268"/>
            <w:vAlign w:val="center"/>
          </w:tcPr>
          <w:p>
            <w:r>
              <w:rPr>
                <w:sz w:val="16"/>
              </w:rPr>
              <w:t>MSI score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MANTIS repeat-instability score supplied by the TCGA PanCancer study; scale: Non-negative algorithm score on its source scale</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MSI threshold status</w:t>
            </w:r>
          </w:p>
        </w:tc>
        <w:tc>
          <w:tcPr>
            <w:tcW w:type="dxa" w:w="2381"/>
            <w:vAlign w:val="center"/>
          </w:tcPr>
          <w:p>
            <w:r>
              <w:rPr>
                <w:sz w:val="16"/>
              </w:rPr>
              <w:t>composite genomic-context score</w:t>
            </w:r>
          </w:p>
        </w:tc>
        <w:tc>
          <w:tcPr>
            <w:tcW w:type="dxa" w:w="1247"/>
            <w:vAlign w:val="center"/>
          </w:tcPr>
          <w:p>
            <w:r>
              <w:rPr>
                <w:sz w:val="16"/>
              </w:rPr>
              <w:t>6/2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Bonneville-aligned definition: MANTIS score &gt;0.4 is MSI-H; scale: Binary 0/1</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Methylation-derived leukocyte fraction</w:t>
            </w:r>
          </w:p>
        </w:tc>
        <w:tc>
          <w:tcPr>
            <w:tcW w:type="dxa" w:w="2381"/>
            <w:vAlign w:val="center"/>
          </w:tcPr>
          <w:p>
            <w:r>
              <w:rPr>
                <w:sz w:val="16"/>
              </w:rPr>
              <w:t>computationally inferred immune-cell fraction</w:t>
            </w:r>
          </w:p>
        </w:tc>
        <w:tc>
          <w:tcPr>
            <w:tcW w:type="dxa" w:w="1247"/>
            <w:vAlign w:val="center"/>
          </w:tcPr>
          <w:p>
            <w:r>
              <w:rPr>
                <w:sz w:val="16"/>
              </w:rPr>
              <w:t>29/1</w:t>
            </w:r>
          </w:p>
        </w:tc>
        <w:tc>
          <w:tcPr>
            <w:tcW w:type="dxa" w:w="2835"/>
            <w:vAlign w:val="center"/>
          </w:tcPr>
          <w:p>
            <w:r>
              <w:rPr>
                <w:sz w:val="16"/>
              </w:rPr>
              <w:t>Bulk-tumour DNA methylation array</w:t>
            </w:r>
          </w:p>
        </w:tc>
        <w:tc>
          <w:tcPr>
            <w:tcW w:type="dxa" w:w="2608"/>
            <w:vAlign w:val="center"/>
          </w:tcPr>
          <w:p>
            <w:r>
              <w:rPr>
                <w:sz w:val="16"/>
              </w:rPr>
              <w:t>Computationally inferred</w:t>
            </w:r>
          </w:p>
        </w:tc>
        <w:tc>
          <w:tcPr>
            <w:tcW w:type="dxa" w:w="4649"/>
            <w:vAlign w:val="center"/>
          </w:tcPr>
          <w:p>
            <w:r>
              <w:rPr>
                <w:sz w:val="16"/>
              </w:rPr>
              <w:t>PanCancer methylation mixture estimate of total leukocyte fraction; scale: Proportion, approximately 0–1</w:t>
            </w:r>
          </w:p>
        </w:tc>
        <w:tc>
          <w:tcPr>
            <w:tcW w:type="dxa" w:w="3402"/>
            <w:vAlign w:val="center"/>
          </w:tcPr>
          <w:p>
            <w:r>
              <w:rPr>
                <w:sz w:val="16"/>
              </w:rPr>
              <w:t>Not equivalent to flow cytometry, IHC or a directly counted immune-cell assay</w:t>
            </w:r>
          </w:p>
        </w:tc>
      </w:tr>
      <w:tr>
        <w:trPr>
          <w:cantSplit/>
        </w:trPr>
        <w:tc>
          <w:tcPr>
            <w:tcW w:type="dxa" w:w="2268"/>
            <w:vAlign w:val="center"/>
          </w:tcPr>
          <w:p>
            <w:r>
              <w:rPr>
                <w:sz w:val="16"/>
              </w:rPr>
              <w:t>Oncogenic-pathway alteration</w:t>
            </w:r>
          </w:p>
        </w:tc>
        <w:tc>
          <w:tcPr>
            <w:tcW w:type="dxa" w:w="2381"/>
            <w:vAlign w:val="center"/>
          </w:tcPr>
          <w:p>
            <w:r>
              <w:rPr>
                <w:sz w:val="16"/>
              </w:rPr>
              <w:t>composite genomic-context score</w:t>
            </w:r>
          </w:p>
        </w:tc>
        <w:tc>
          <w:tcPr>
            <w:tcW w:type="dxa" w:w="1247"/>
            <w:vAlign w:val="center"/>
          </w:tcPr>
          <w:p>
            <w:r>
              <w:rPr>
                <w:sz w:val="16"/>
              </w:rPr>
              <w:t>166/10</w:t>
            </w:r>
          </w:p>
        </w:tc>
        <w:tc>
          <w:tcPr>
            <w:tcW w:type="dxa" w:w="2835"/>
            <w:vAlign w:val="center"/>
          </w:tcPr>
          <w:p>
            <w:r>
              <w:rPr>
                <w:sz w:val="16"/>
              </w:rPr>
              <w:t>Integrated somatic mutation and copy-number alteration data</w:t>
            </w:r>
          </w:p>
        </w:tc>
        <w:tc>
          <w:tcPr>
            <w:tcW w:type="dxa" w:w="2608"/>
            <w:vAlign w:val="center"/>
          </w:tcPr>
          <w:p>
            <w:r>
              <w:rPr>
                <w:sz w:val="16"/>
              </w:rPr>
              <w:t>Derived binary pathway composite</w:t>
            </w:r>
          </w:p>
        </w:tc>
        <w:tc>
          <w:tcPr>
            <w:tcW w:type="dxa" w:w="4649"/>
            <w:vAlign w:val="center"/>
          </w:tcPr>
          <w:p>
            <w:r>
              <w:rPr>
                <w:sz w:val="16"/>
              </w:rPr>
              <w:t>Sanchez-Vega pathway-level matrix; a patient is positive when a source-defined member gene is altered; any altered primary aliquot defines positivity; scale: Binary 0/1 pathway status</w:t>
            </w:r>
          </w:p>
        </w:tc>
        <w:tc>
          <w:tcPr>
            <w:tcW w:type="dxa" w:w="3402"/>
            <w:vAlign w:val="center"/>
          </w:tcPr>
          <w:p>
            <w:r>
              <w:rPr>
                <w:sz w:val="16"/>
              </w:rPr>
              <w:t>Composite research label, not a single directly measured assay</w:t>
            </w:r>
          </w:p>
        </w:tc>
      </w:tr>
      <w:tr>
        <w:trPr>
          <w:cantSplit/>
        </w:trPr>
        <w:tc>
          <w:tcPr>
            <w:tcW w:type="dxa" w:w="2268"/>
            <w:vAlign w:val="center"/>
          </w:tcPr>
          <w:p>
            <w:r>
              <w:rPr>
                <w:sz w:val="16"/>
              </w:rPr>
              <w:t>Predicted neoantigen burden</w:t>
            </w:r>
          </w:p>
        </w:tc>
        <w:tc>
          <w:tcPr>
            <w:tcW w:type="dxa" w:w="2381"/>
            <w:vAlign w:val="center"/>
          </w:tcPr>
          <w:p>
            <w:r>
              <w:rPr>
                <w:sz w:val="16"/>
              </w:rPr>
              <w:t>sequencing-derived continuous burden</w:t>
            </w:r>
          </w:p>
        </w:tc>
        <w:tc>
          <w:tcPr>
            <w:tcW w:type="dxa" w:w="1247"/>
            <w:vAlign w:val="center"/>
          </w:tcPr>
          <w:p>
            <w:r>
              <w:rPr>
                <w:sz w:val="16"/>
              </w:rPr>
              <w:t>52/2</w:t>
            </w:r>
          </w:p>
        </w:tc>
        <w:tc>
          <w:tcPr>
            <w:tcW w:type="dxa" w:w="2835"/>
            <w:vAlign w:val="center"/>
          </w:tcPr>
          <w:p>
            <w:r>
              <w:rPr>
                <w:sz w:val="16"/>
              </w:rPr>
              <w:t>Somatic variants, HLA calls and tumour RNA sequencing</w:t>
            </w:r>
          </w:p>
        </w:tc>
        <w:tc>
          <w:tcPr>
            <w:tcW w:type="dxa" w:w="2608"/>
            <w:vAlign w:val="center"/>
          </w:tcPr>
          <w:p>
            <w:r>
              <w:rPr>
                <w:sz w:val="16"/>
              </w:rPr>
              <w:t>In-silico peptide–MHC prediction</w:t>
            </w:r>
          </w:p>
        </w:tc>
        <w:tc>
          <w:tcPr>
            <w:tcW w:type="dxa" w:w="4649"/>
            <w:vAlign w:val="center"/>
          </w:tcPr>
          <w:p>
            <w:r>
              <w:rPr>
                <w:sz w:val="16"/>
              </w:rPr>
              <w:t>Thorsson PanImmune neoantigen prediction workflow for SNVs or indels; scale: Non-negative predicted-neoantigen count</w:t>
            </w:r>
          </w:p>
        </w:tc>
        <w:tc>
          <w:tcPr>
            <w:tcW w:type="dxa" w:w="3402"/>
            <w:vAlign w:val="center"/>
          </w:tcPr>
          <w:p>
            <w:r>
              <w:rPr>
                <w:sz w:val="16"/>
              </w:rPr>
              <w:t>Not a directly measured T-cell response or validated neoantigen assay</w:t>
            </w:r>
          </w:p>
        </w:tc>
      </w:tr>
      <w:tr>
        <w:trPr>
          <w:cantSplit/>
        </w:trPr>
        <w:tc>
          <w:tcPr>
            <w:tcW w:type="dxa" w:w="2268"/>
            <w:vAlign w:val="center"/>
          </w:tcPr>
          <w:p>
            <w:r>
              <w:rPr>
                <w:sz w:val="16"/>
              </w:rPr>
              <w:t>Purity-derived stromal fraction</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Integrated copy-number/variant purity estimate</w:t>
            </w:r>
          </w:p>
        </w:tc>
        <w:tc>
          <w:tcPr>
            <w:tcW w:type="dxa" w:w="2608"/>
            <w:vAlign w:val="center"/>
          </w:tcPr>
          <w:p>
            <w:r>
              <w:rPr>
                <w:sz w:val="16"/>
              </w:rPr>
              <w:t>Computationally inferred</w:t>
            </w:r>
          </w:p>
        </w:tc>
        <w:tc>
          <w:tcPr>
            <w:tcW w:type="dxa" w:w="4649"/>
            <w:vAlign w:val="center"/>
          </w:tcPr>
          <w:p>
            <w:r>
              <w:rPr>
                <w:sz w:val="16"/>
              </w:rPr>
              <w:t>One minus ABSOLUTE-estimated tumour purity in the PanCancer resource; scale: Proportion, approximately 0–1</w:t>
            </w:r>
          </w:p>
        </w:tc>
        <w:tc>
          <w:tcPr>
            <w:tcW w:type="dxa" w:w="3402"/>
            <w:vAlign w:val="center"/>
          </w:tcPr>
          <w:p>
            <w:r>
              <w:rPr>
                <w:sz w:val="16"/>
              </w:rPr>
              <w:t>Not a direct histological stromal-area or stromal-cell count</w:t>
            </w:r>
          </w:p>
        </w:tc>
      </w:tr>
      <w:tr>
        <w:trPr>
          <w:cantSplit/>
        </w:trPr>
        <w:tc>
          <w:tcPr>
            <w:tcW w:type="dxa" w:w="2268"/>
            <w:vAlign w:val="center"/>
          </w:tcPr>
          <w:p>
            <w:r>
              <w:rPr>
                <w:sz w:val="16"/>
              </w:rPr>
              <w:t>RNA-expression signature</w:t>
            </w:r>
          </w:p>
        </w:tc>
        <w:tc>
          <w:tcPr>
            <w:tcW w:type="dxa" w:w="2381"/>
            <w:vAlign w:val="center"/>
          </w:tcPr>
          <w:p>
            <w:r>
              <w:rPr>
                <w:sz w:val="16"/>
              </w:rPr>
              <w:t>transcriptomic signature</w:t>
            </w:r>
          </w:p>
        </w:tc>
        <w:tc>
          <w:tcPr>
            <w:tcW w:type="dxa" w:w="1247"/>
            <w:vAlign w:val="center"/>
          </w:tcPr>
          <w:p>
            <w:r>
              <w:rPr>
                <w:sz w:val="16"/>
              </w:rPr>
              <w:t>299/10</w:t>
            </w:r>
          </w:p>
        </w:tc>
        <w:tc>
          <w:tcPr>
            <w:tcW w:type="dxa" w:w="2835"/>
            <w:vAlign w:val="center"/>
          </w:tcPr>
          <w:p>
            <w:r>
              <w:rPr>
                <w:sz w:val="16"/>
              </w:rPr>
              <w:t>Bulk-tumour RNA sequencing</w:t>
            </w:r>
          </w:p>
        </w:tc>
        <w:tc>
          <w:tcPr>
            <w:tcW w:type="dxa" w:w="2608"/>
            <w:vAlign w:val="center"/>
          </w:tcPr>
          <w:p>
            <w:r>
              <w:rPr>
                <w:sz w:val="16"/>
              </w:rPr>
              <w:t>Derived gene-set score</w:t>
            </w:r>
          </w:p>
        </w:tc>
        <w:tc>
          <w:tcPr>
            <w:tcW w:type="dxa" w:w="4649"/>
            <w:vAlign w:val="center"/>
          </w:tcPr>
          <w:p>
            <w:r>
              <w:rPr>
                <w:sz w:val="16"/>
              </w:rPr>
              <w:t>Published PanImmune gene-expression signature scoring on bulk RNA-seq; gene set and scoring definition follow Thorsson et al.; scale: Source signature score; not a physical unit</w:t>
            </w:r>
          </w:p>
        </w:tc>
        <w:tc>
          <w:tcPr>
            <w:tcW w:type="dxa" w:w="3402"/>
            <w:vAlign w:val="center"/>
          </w:tcPr>
          <w:p>
            <w:r>
              <w:rPr>
                <w:sz w:val="16"/>
              </w:rPr>
              <w:t>Not a directly measured protein, immune-cell count or certified biomarker</w:t>
            </w:r>
          </w:p>
        </w:tc>
      </w:tr>
      <w:tr>
        <w:trPr>
          <w:cantSplit/>
        </w:trPr>
        <w:tc>
          <w:tcPr>
            <w:tcW w:type="dxa" w:w="2268"/>
            <w:vAlign w:val="center"/>
          </w:tcPr>
          <w:p>
            <w:r>
              <w:rPr>
                <w:sz w:val="16"/>
              </w:rPr>
              <w:t>Recurrent fusion-pair call</w:t>
            </w:r>
          </w:p>
        </w:tc>
        <w:tc>
          <w:tcPr>
            <w:tcW w:type="dxa" w:w="2381"/>
            <w:vAlign w:val="center"/>
          </w:tcPr>
          <w:p>
            <w:r>
              <w:rPr>
                <w:sz w:val="16"/>
              </w:rPr>
              <w:t>directly observed genomic alteration</w:t>
            </w:r>
          </w:p>
        </w:tc>
        <w:tc>
          <w:tcPr>
            <w:tcW w:type="dxa" w:w="1247"/>
            <w:vAlign w:val="center"/>
          </w:tcPr>
          <w:p>
            <w:r>
              <w:rPr>
                <w:sz w:val="16"/>
              </w:rPr>
              <w:t>2/2</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Somatic mutation rate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Tumour DNA sequencing</w:t>
            </w:r>
          </w:p>
        </w:tc>
        <w:tc>
          <w:tcPr>
            <w:tcW w:type="dxa" w:w="2608"/>
            <w:vAlign w:val="center"/>
          </w:tcPr>
          <w:p>
            <w:r>
              <w:rPr>
                <w:sz w:val="16"/>
              </w:rPr>
              <w:t>Derived mutation-rate burden</w:t>
            </w:r>
          </w:p>
        </w:tc>
        <w:tc>
          <w:tcPr>
            <w:tcW w:type="dxa" w:w="4649"/>
            <w:vAlign w:val="center"/>
          </w:tcPr>
          <w:p>
            <w:r>
              <w:rPr>
                <w:sz w:val="16"/>
              </w:rPr>
              <w:t>PanCancer silent or nonsilent somatic mutation rate compiled by Thorsson et al.; scale: Non-negative source mutation rate</w:t>
            </w:r>
          </w:p>
        </w:tc>
        <w:tc>
          <w:tcPr>
            <w:tcW w:type="dxa" w:w="3402"/>
            <w:vAlign w:val="center"/>
          </w:tcPr>
          <w:p>
            <w:r>
              <w:rPr>
                <w:sz w:val="16"/>
              </w:rPr>
              <w:t>Research burden estimate, not a platform-harmonised clinical TMB assay</w:t>
            </w:r>
          </w:p>
        </w:tc>
      </w:tr>
    </w:tbl>
    <w:p/>
    <w:p>
      <w:pPr>
        <w:pStyle w:val="Heading1"/>
      </w:pPr>
      <w:r>
        <w:t>Table S14. Qualitative high/low prediction anchors and within-cancer TITAN neighbours</w:t>
      </w:r>
    </w:p>
    <w:p>
      <w:pPr>
        <w:pStyle w:val="Caption"/>
      </w:pPr>
      <w:r>
        <w:t>Panel A. Five representative modality classes. Prediction values retain their original analysed units. TIL Regional Fraction is a same-H&amp;E-modality concordance example; the remaining rows are descriptive cross-modal contexts.</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2835"/>
          </w:tcPr>
          <w:p>
            <w:r>
              <w:rPr>
                <w:b/>
                <w:sz w:val="17"/>
              </w:rPr>
              <w:t>Cancer–endpoint</w:t>
            </w:r>
          </w:p>
        </w:tc>
        <w:tc>
          <w:tcPr>
            <w:tcW w:type="dxa" w:w="2835"/>
          </w:tcPr>
          <w:p>
            <w:r>
              <w:rPr>
                <w:b/>
                <w:sz w:val="17"/>
              </w:rPr>
              <w:t>Target class</w:t>
            </w:r>
          </w:p>
        </w:tc>
        <w:tc>
          <w:tcPr>
            <w:tcW w:type="dxa" w:w="2948"/>
          </w:tcPr>
          <w:p>
            <w:r>
              <w:rPr>
                <w:b/>
                <w:sz w:val="17"/>
              </w:rPr>
              <w:t>High patient: observed/predicted</w:t>
            </w:r>
          </w:p>
        </w:tc>
        <w:tc>
          <w:tcPr>
            <w:tcW w:type="dxa" w:w="2948"/>
          </w:tcPr>
          <w:p>
            <w:r>
              <w:rPr>
                <w:b/>
                <w:sz w:val="17"/>
              </w:rPr>
              <w:t>Low patient: observed/predicted</w:t>
            </w:r>
          </w:p>
        </w:tc>
        <w:tc>
          <w:tcPr>
            <w:tcW w:type="dxa" w:w="5953"/>
          </w:tcPr>
          <w:p>
            <w:r>
              <w:rPr>
                <w:b/>
                <w:sz w:val="17"/>
              </w:rPr>
              <w:t>Interpretation</w:t>
            </w:r>
          </w:p>
        </w:tc>
      </w:tr>
      <w:tr>
        <w:trPr>
          <w:cantSplit/>
        </w:trPr>
        <w:tc>
          <w:tcPr>
            <w:tcW w:type="dxa" w:w="2835"/>
            <w:vAlign w:val="center"/>
          </w:tcPr>
          <w:p>
            <w:r>
              <w:rPr>
                <w:sz w:val="16"/>
              </w:rPr>
              <w:t>BLCA–TIL Regional Fraction</w:t>
            </w:r>
          </w:p>
        </w:tc>
        <w:tc>
          <w:tcPr>
            <w:tcW w:type="dxa" w:w="2835"/>
            <w:vAlign w:val="center"/>
          </w:tcPr>
          <w:p>
            <w:r>
              <w:rPr>
                <w:sz w:val="16"/>
              </w:rPr>
              <w:t>H&amp;E-derived pathology quantity</w:t>
            </w:r>
          </w:p>
        </w:tc>
        <w:tc>
          <w:tcPr>
            <w:tcW w:type="dxa" w:w="2948"/>
            <w:vAlign w:val="center"/>
          </w:tcPr>
          <w:p>
            <w:r>
              <w:rPr>
                <w:sz w:val="16"/>
              </w:rPr>
              <w:t>TCGA-FD-A5BS: 20.6511/23.1239</w:t>
            </w:r>
          </w:p>
        </w:tc>
        <w:tc>
          <w:tcPr>
            <w:tcW w:type="dxa" w:w="2948"/>
            <w:vAlign w:val="center"/>
          </w:tcPr>
          <w:p>
            <w:r>
              <w:rPr>
                <w:sz w:val="16"/>
              </w:rPr>
              <w:t>TCGA-BL-A0C8: 0.0199/-6.6838</w:t>
            </w:r>
          </w:p>
        </w:tc>
        <w:tc>
          <w:tcPr>
            <w:tcW w:type="dxa" w:w="5953"/>
            <w:vAlign w:val="center"/>
          </w:tcPr>
          <w:p>
            <w:r>
              <w:rPr>
                <w:sz w:val="16"/>
              </w:rPr>
              <w:t>Same-modality concordance/positive-control example because the target was itself inferred from H&amp;E; not molecular prediction</w:t>
            </w:r>
          </w:p>
        </w:tc>
      </w:tr>
      <w:tr>
        <w:trPr>
          <w:cantSplit/>
        </w:trPr>
        <w:tc>
          <w:tcPr>
            <w:tcW w:type="dxa" w:w="2835"/>
            <w:vAlign w:val="center"/>
          </w:tcPr>
          <w:p>
            <w:r>
              <w:rPr>
                <w:sz w:val="16"/>
              </w:rPr>
              <w:t>TGCT–Macrophages M2</w:t>
            </w:r>
          </w:p>
        </w:tc>
        <w:tc>
          <w:tcPr>
            <w:tcW w:type="dxa" w:w="2835"/>
            <w:vAlign w:val="center"/>
          </w:tcPr>
          <w:p>
            <w:r>
              <w:rPr>
                <w:sz w:val="16"/>
              </w:rPr>
              <w:t>RNA-derived CIBERSORT fraction</w:t>
            </w:r>
          </w:p>
        </w:tc>
        <w:tc>
          <w:tcPr>
            <w:tcW w:type="dxa" w:w="2948"/>
            <w:vAlign w:val="center"/>
          </w:tcPr>
          <w:p>
            <w:r>
              <w:rPr>
                <w:sz w:val="16"/>
              </w:rPr>
              <w:t>TCGA-YU-A94D: 0.4327/0.3316</w:t>
            </w:r>
          </w:p>
        </w:tc>
        <w:tc>
          <w:tcPr>
            <w:tcW w:type="dxa" w:w="2948"/>
            <w:vAlign w:val="center"/>
          </w:tcPr>
          <w:p>
            <w:r>
              <w:rPr>
                <w:sz w:val="16"/>
              </w:rPr>
              <w:t>TCGA-2G-AAF6: 0.0792/0.0518</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BRCA–Wound Healing</w:t>
            </w:r>
          </w:p>
        </w:tc>
        <w:tc>
          <w:tcPr>
            <w:tcW w:type="dxa" w:w="2835"/>
            <w:vAlign w:val="center"/>
          </w:tcPr>
          <w:p>
            <w:r>
              <w:rPr>
                <w:sz w:val="16"/>
              </w:rPr>
              <w:t>RNA-expression signature</w:t>
            </w:r>
          </w:p>
        </w:tc>
        <w:tc>
          <w:tcPr>
            <w:tcW w:type="dxa" w:w="2948"/>
            <w:vAlign w:val="center"/>
          </w:tcPr>
          <w:p>
            <w:r>
              <w:rPr>
                <w:sz w:val="16"/>
              </w:rPr>
              <w:t>TCGA-AR-A1AH: 0.2475/0.3821</w:t>
            </w:r>
          </w:p>
        </w:tc>
        <w:tc>
          <w:tcPr>
            <w:tcW w:type="dxa" w:w="2948"/>
            <w:vAlign w:val="center"/>
          </w:tcPr>
          <w:p>
            <w:r>
              <w:rPr>
                <w:sz w:val="16"/>
              </w:rPr>
              <w:t>TCGA-E9-A5UO: -0.1290/-0.2589</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UCEC–Aneuploidy score</w:t>
            </w:r>
          </w:p>
        </w:tc>
        <w:tc>
          <w:tcPr>
            <w:tcW w:type="dxa" w:w="2835"/>
            <w:vAlign w:val="center"/>
          </w:tcPr>
          <w:p>
            <w:r>
              <w:rPr>
                <w:sz w:val="16"/>
              </w:rPr>
              <w:t>copy-number-derived burden</w:t>
            </w:r>
          </w:p>
        </w:tc>
        <w:tc>
          <w:tcPr>
            <w:tcW w:type="dxa" w:w="2948"/>
            <w:vAlign w:val="center"/>
          </w:tcPr>
          <w:p>
            <w:r>
              <w:rPr>
                <w:sz w:val="16"/>
              </w:rPr>
              <w:t>TCGA-AJ-A23M: 20.0000/19.2810</w:t>
            </w:r>
          </w:p>
        </w:tc>
        <w:tc>
          <w:tcPr>
            <w:tcW w:type="dxa" w:w="2948"/>
            <w:vAlign w:val="center"/>
          </w:tcPr>
          <w:p>
            <w:r>
              <w:rPr>
                <w:sz w:val="16"/>
              </w:rPr>
              <w:t>TCGA-D1-A1NS: 0.0000/-1.7225</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THYM–GTF2I</w:t>
            </w:r>
          </w:p>
        </w:tc>
        <w:tc>
          <w:tcPr>
            <w:tcW w:type="dxa" w:w="2835"/>
            <w:vAlign w:val="center"/>
          </w:tcPr>
          <w:p>
            <w:r>
              <w:rPr>
                <w:sz w:val="16"/>
              </w:rPr>
              <w:t>sequence-supported mutation call</w:t>
            </w:r>
          </w:p>
        </w:tc>
        <w:tc>
          <w:tcPr>
            <w:tcW w:type="dxa" w:w="2948"/>
            <w:vAlign w:val="center"/>
          </w:tcPr>
          <w:p>
            <w:r>
              <w:rPr>
                <w:sz w:val="16"/>
              </w:rPr>
              <w:t>TCGA-ZB-A96H: 1.0000/17.8648</w:t>
            </w:r>
          </w:p>
        </w:tc>
        <w:tc>
          <w:tcPr>
            <w:tcW w:type="dxa" w:w="2948"/>
            <w:vAlign w:val="center"/>
          </w:tcPr>
          <w:p>
            <w:r>
              <w:rPr>
                <w:sz w:val="16"/>
              </w:rPr>
              <w:t>TCGA-4V-A9QS: 0.0000/-29.9794</w:t>
            </w:r>
          </w:p>
        </w:tc>
        <w:tc>
          <w:tcPr>
            <w:tcW w:type="dxa" w:w="5953"/>
            <w:vAlign w:val="center"/>
          </w:tcPr>
          <w:p>
            <w:r>
              <w:rPr>
                <w:sz w:val="16"/>
              </w:rPr>
              <w:t>Qualitative embedding-neighbour and generated-report context only; no patch attribution or blinded pathologist review</w:t>
            </w:r>
          </w:p>
        </w:tc>
      </w:tr>
    </w:tbl>
    <w:p/>
    <w:p>
      <w:pPr>
        <w:pStyle w:val="Caption"/>
      </w:pPr>
      <w:r>
        <w:t>Panel B. Anchor and nearest-neighbour records. H/L denote high/low prediction strata. Cosine similarity is to the anchor; anchor values equal 1. The complete CSV additionally includes report excerpts, slide-to-patient-mean distance, patient slide count and explicit provenance/interpretability warnings.</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cantSplit/>
        </w:trPr>
        <w:tc>
          <w:tcPr>
            <w:tcW w:type="dxa" w:w="2381"/>
          </w:tcPr>
          <w:p>
            <w:r>
              <w:rPr>
                <w:b/>
                <w:sz w:val="17"/>
              </w:rPr>
              <w:t>Model</w:t>
            </w:r>
          </w:p>
        </w:tc>
        <w:tc>
          <w:tcPr>
            <w:tcW w:type="dxa" w:w="1814"/>
          </w:tcPr>
          <w:p>
            <w:r>
              <w:rPr>
                <w:b/>
                <w:sz w:val="17"/>
              </w:rPr>
              <w:t>Stratum/role</w:t>
            </w:r>
          </w:p>
        </w:tc>
        <w:tc>
          <w:tcPr>
            <w:tcW w:type="dxa" w:w="1701"/>
          </w:tcPr>
          <w:p>
            <w:r>
              <w:rPr>
                <w:b/>
                <w:sz w:val="17"/>
              </w:rPr>
              <w:t>Patient</w:t>
            </w:r>
          </w:p>
        </w:tc>
        <w:tc>
          <w:tcPr>
            <w:tcW w:type="dxa" w:w="4535"/>
          </w:tcPr>
          <w:p>
            <w:r>
              <w:rPr>
                <w:b/>
                <w:sz w:val="17"/>
              </w:rPr>
              <w:t>Representative slide</w:t>
            </w:r>
          </w:p>
        </w:tc>
        <w:tc>
          <w:tcPr>
            <w:tcW w:type="dxa" w:w="1247"/>
          </w:tcPr>
          <w:p>
            <w:r>
              <w:rPr>
                <w:b/>
                <w:sz w:val="17"/>
              </w:rPr>
              <w:t>Observed</w:t>
            </w:r>
          </w:p>
        </w:tc>
        <w:tc>
          <w:tcPr>
            <w:tcW w:type="dxa" w:w="1361"/>
          </w:tcPr>
          <w:p>
            <w:r>
              <w:rPr>
                <w:b/>
                <w:sz w:val="17"/>
              </w:rPr>
              <w:t>Prediction</w:t>
            </w:r>
          </w:p>
        </w:tc>
        <w:tc>
          <w:tcPr>
            <w:tcW w:type="dxa" w:w="1474"/>
          </w:tcPr>
          <w:p>
            <w:r>
              <w:rPr>
                <w:b/>
                <w:sz w:val="17"/>
              </w:rPr>
              <w:t>Prediction rank</w:t>
            </w:r>
          </w:p>
        </w:tc>
        <w:tc>
          <w:tcPr>
            <w:tcW w:type="dxa" w:w="1134"/>
          </w:tcPr>
          <w:p>
            <w:r>
              <w:rPr>
                <w:b/>
                <w:sz w:val="17"/>
              </w:rPr>
              <w:t>Cosine</w:t>
            </w:r>
          </w:p>
        </w:tc>
        <w:tc>
          <w:tcPr>
            <w:tcW w:type="dxa" w:w="3969"/>
          </w:tcPr>
          <w:p>
            <w:r>
              <w:rPr>
                <w:b/>
                <w:sz w:val="17"/>
              </w:rPr>
              <w:t>Generated-report terms</w:t>
            </w:r>
          </w:p>
        </w:tc>
      </w:tr>
      <w:tr>
        <w:trPr>
          <w:cantSplit/>
        </w:trPr>
        <w:tc>
          <w:tcPr>
            <w:tcW w:type="dxa" w:w="2381"/>
            <w:vAlign w:val="center"/>
          </w:tcPr>
          <w:p>
            <w:r>
              <w:rPr>
                <w:sz w:val="16"/>
              </w:rPr>
              <w:t>BLCA–TIL Regional Fraction</w:t>
            </w:r>
          </w:p>
        </w:tc>
        <w:tc>
          <w:tcPr>
            <w:tcW w:type="dxa" w:w="1814"/>
            <w:vAlign w:val="center"/>
          </w:tcPr>
          <w:p>
            <w:r>
              <w:rPr>
                <w:sz w:val="16"/>
              </w:rPr>
              <w:t>high/anchor</w:t>
            </w:r>
          </w:p>
        </w:tc>
        <w:tc>
          <w:tcPr>
            <w:tcW w:type="dxa" w:w="1701"/>
            <w:vAlign w:val="center"/>
          </w:tcPr>
          <w:p>
            <w:r>
              <w:rPr>
                <w:sz w:val="16"/>
              </w:rPr>
              <w:t>TCGA-FD-A5BS</w:t>
            </w:r>
          </w:p>
        </w:tc>
        <w:tc>
          <w:tcPr>
            <w:tcW w:type="dxa" w:w="4535"/>
            <w:vAlign w:val="center"/>
          </w:tcPr>
          <w:p>
            <w:r>
              <w:rPr>
                <w:sz w:val="16"/>
              </w:rPr>
              <w:t>TCGA-FD-A5BS-01Z-00-DX1.A7155CEB-37C9-4AD2-B229-B76F18814585</w:t>
            </w:r>
          </w:p>
        </w:tc>
        <w:tc>
          <w:tcPr>
            <w:tcW w:type="dxa" w:w="1247"/>
            <w:vAlign w:val="center"/>
          </w:tcPr>
          <w:p>
            <w:r>
              <w:rPr>
                <w:sz w:val="16"/>
              </w:rPr>
              <w:t>20.6511</w:t>
            </w:r>
          </w:p>
        </w:tc>
        <w:tc>
          <w:tcPr>
            <w:tcW w:type="dxa" w:w="1361"/>
            <w:vAlign w:val="center"/>
          </w:tcPr>
          <w:p>
            <w:r>
              <w:rPr>
                <w:sz w:val="16"/>
              </w:rPr>
              <w:t>23.1239</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lymphoid/inflammatory infiltrate;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high/nearest neighbour</w:t>
            </w:r>
          </w:p>
        </w:tc>
        <w:tc>
          <w:tcPr>
            <w:tcW w:type="dxa" w:w="1701"/>
            <w:vAlign w:val="center"/>
          </w:tcPr>
          <w:p>
            <w:r>
              <w:rPr>
                <w:sz w:val="16"/>
              </w:rPr>
              <w:t>TCGA-K4-A5RJ</w:t>
            </w:r>
          </w:p>
        </w:tc>
        <w:tc>
          <w:tcPr>
            <w:tcW w:type="dxa" w:w="4535"/>
            <w:vAlign w:val="center"/>
          </w:tcPr>
          <w:p>
            <w:r>
              <w:rPr>
                <w:sz w:val="16"/>
              </w:rPr>
              <w:t>TCGA-K4-A5RJ-01Z-00-DX1.DFDDA8B5-E80F-4BF9-87E3-EA75E294ABF5</w:t>
            </w:r>
          </w:p>
        </w:tc>
        <w:tc>
          <w:tcPr>
            <w:tcW w:type="dxa" w:w="1247"/>
            <w:vAlign w:val="center"/>
          </w:tcPr>
          <w:p>
            <w:r>
              <w:rPr>
                <w:sz w:val="16"/>
              </w:rPr>
              <w:t>25.7771</w:t>
            </w:r>
          </w:p>
        </w:tc>
        <w:tc>
          <w:tcPr>
            <w:tcW w:type="dxa" w:w="1361"/>
            <w:vAlign w:val="center"/>
          </w:tcPr>
          <w:p>
            <w:r>
              <w:rPr>
                <w:sz w:val="16"/>
              </w:rPr>
              <w:t>18.8606</w:t>
            </w:r>
          </w:p>
        </w:tc>
        <w:tc>
          <w:tcPr>
            <w:tcW w:type="dxa" w:w="1474"/>
            <w:vAlign w:val="center"/>
          </w:tcPr>
          <w:p>
            <w:r>
              <w:rPr>
                <w:sz w:val="16"/>
              </w:rPr>
              <w:t>0.983</w:t>
            </w:r>
          </w:p>
        </w:tc>
        <w:tc>
          <w:tcPr>
            <w:tcW w:type="dxa" w:w="1134"/>
            <w:vAlign w:val="center"/>
          </w:tcPr>
          <w:p>
            <w:r>
              <w:rPr>
                <w:sz w:val="16"/>
              </w:rPr>
              <w:t>0.923</w:t>
            </w:r>
          </w:p>
        </w:tc>
        <w:tc>
          <w:tcPr>
            <w:tcW w:type="dxa" w:w="3969"/>
            <w:vAlign w:val="center"/>
          </w:tcPr>
          <w:p>
            <w:r>
              <w:rPr>
                <w:sz w:val="16"/>
              </w:rPr>
              <w:t>papillary; squamous/keratinising;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low/anchor</w:t>
            </w:r>
          </w:p>
        </w:tc>
        <w:tc>
          <w:tcPr>
            <w:tcW w:type="dxa" w:w="1701"/>
            <w:vAlign w:val="center"/>
          </w:tcPr>
          <w:p>
            <w:r>
              <w:rPr>
                <w:sz w:val="16"/>
              </w:rPr>
              <w:t>TCGA-BL-A0C8</w:t>
            </w:r>
          </w:p>
        </w:tc>
        <w:tc>
          <w:tcPr>
            <w:tcW w:type="dxa" w:w="4535"/>
            <w:vAlign w:val="center"/>
          </w:tcPr>
          <w:p>
            <w:r>
              <w:rPr>
                <w:sz w:val="16"/>
              </w:rPr>
              <w:t>TCGA-BL-A0C8-01Z-00-DX2.1D788C7B-801F-4957-B1DE-43DCAA82A16A</w:t>
            </w:r>
          </w:p>
        </w:tc>
        <w:tc>
          <w:tcPr>
            <w:tcW w:type="dxa" w:w="1247"/>
            <w:vAlign w:val="center"/>
          </w:tcPr>
          <w:p>
            <w:r>
              <w:rPr>
                <w:sz w:val="16"/>
              </w:rPr>
              <w:t>0.0199</w:t>
            </w:r>
          </w:p>
        </w:tc>
        <w:tc>
          <w:tcPr>
            <w:tcW w:type="dxa" w:w="1361"/>
            <w:vAlign w:val="center"/>
          </w:tcPr>
          <w:p>
            <w:r>
              <w:rPr>
                <w:sz w:val="16"/>
              </w:rPr>
              <w:t>-6.6838</w:t>
            </w:r>
          </w:p>
        </w:tc>
        <w:tc>
          <w:tcPr>
            <w:tcW w:type="dxa" w:w="1474"/>
            <w:vAlign w:val="center"/>
          </w:tcPr>
          <w:p>
            <w:r>
              <w:rPr>
                <w:sz w:val="16"/>
              </w:rPr>
              <w:t>0.003</w:t>
            </w:r>
          </w:p>
        </w:tc>
        <w:tc>
          <w:tcPr>
            <w:tcW w:type="dxa" w:w="1134"/>
            <w:vAlign w:val="center"/>
          </w:tcPr>
          <w:p>
            <w:r>
              <w:rPr>
                <w:sz w:val="16"/>
              </w:rPr>
              <w:t>1.000</w:t>
            </w:r>
          </w:p>
        </w:tc>
        <w:tc>
          <w:tcPr>
            <w:tcW w:type="dxa" w:w="3969"/>
            <w:vAlign w:val="center"/>
          </w:tcPr>
          <w:p>
            <w:r>
              <w:rPr>
                <w:sz w:val="16"/>
              </w:rPr>
              <w:t>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low/nearest neighbour</w:t>
            </w:r>
          </w:p>
        </w:tc>
        <w:tc>
          <w:tcPr>
            <w:tcW w:type="dxa" w:w="1701"/>
            <w:vAlign w:val="center"/>
          </w:tcPr>
          <w:p>
            <w:r>
              <w:rPr>
                <w:sz w:val="16"/>
              </w:rPr>
              <w:t>TCGA-E7-A5KE</w:t>
            </w:r>
          </w:p>
        </w:tc>
        <w:tc>
          <w:tcPr>
            <w:tcW w:type="dxa" w:w="4535"/>
            <w:vAlign w:val="center"/>
          </w:tcPr>
          <w:p>
            <w:r>
              <w:rPr>
                <w:sz w:val="16"/>
              </w:rPr>
              <w:t>TCGA-E7-A5KE-01Z-00-DX1.BDCD4071-5EE5-4863-A722-DAA32F3A7FB4</w:t>
            </w:r>
          </w:p>
        </w:tc>
        <w:tc>
          <w:tcPr>
            <w:tcW w:type="dxa" w:w="1247"/>
            <w:vAlign w:val="center"/>
          </w:tcPr>
          <w:p>
            <w:r>
              <w:rPr>
                <w:sz w:val="16"/>
              </w:rPr>
              <w:t>0.3344</w:t>
            </w:r>
          </w:p>
        </w:tc>
        <w:tc>
          <w:tcPr>
            <w:tcW w:type="dxa" w:w="1361"/>
            <w:vAlign w:val="center"/>
          </w:tcPr>
          <w:p>
            <w:r>
              <w:rPr>
                <w:sz w:val="16"/>
              </w:rPr>
              <w:t>-0.1219</w:t>
            </w:r>
          </w:p>
        </w:tc>
        <w:tc>
          <w:tcPr>
            <w:tcW w:type="dxa" w:w="1474"/>
            <w:vAlign w:val="center"/>
          </w:tcPr>
          <w:p>
            <w:r>
              <w:rPr>
                <w:sz w:val="16"/>
              </w:rPr>
              <w:t>0.051</w:t>
            </w:r>
          </w:p>
        </w:tc>
        <w:tc>
          <w:tcPr>
            <w:tcW w:type="dxa" w:w="1134"/>
            <w:vAlign w:val="center"/>
          </w:tcPr>
          <w:p>
            <w:r>
              <w:rPr>
                <w:sz w:val="16"/>
              </w:rPr>
              <w:t>0.737</w:t>
            </w:r>
          </w:p>
        </w:tc>
        <w:tc>
          <w:tcPr>
            <w:tcW w:type="dxa" w:w="3969"/>
            <w:vAlign w:val="center"/>
          </w:tcPr>
          <w:p>
            <w:r>
              <w:rPr>
                <w:sz w:val="16"/>
              </w:rPr>
              <w:t>high-grade/poorly differentiated</w:t>
            </w:r>
          </w:p>
        </w:tc>
      </w:tr>
      <w:tr>
        <w:trPr>
          <w:cantSplit/>
        </w:trPr>
        <w:tc>
          <w:tcPr>
            <w:tcW w:type="dxa" w:w="2381"/>
            <w:vAlign w:val="center"/>
          </w:tcPr>
          <w:p>
            <w:r>
              <w:rPr>
                <w:sz w:val="16"/>
              </w:rPr>
              <w:t>TGCT–Macrophages M2</w:t>
            </w:r>
          </w:p>
        </w:tc>
        <w:tc>
          <w:tcPr>
            <w:tcW w:type="dxa" w:w="1814"/>
            <w:vAlign w:val="center"/>
          </w:tcPr>
          <w:p>
            <w:r>
              <w:rPr>
                <w:sz w:val="16"/>
              </w:rPr>
              <w:t>high/anchor</w:t>
            </w:r>
          </w:p>
        </w:tc>
        <w:tc>
          <w:tcPr>
            <w:tcW w:type="dxa" w:w="1701"/>
            <w:vAlign w:val="center"/>
          </w:tcPr>
          <w:p>
            <w:r>
              <w:rPr>
                <w:sz w:val="16"/>
              </w:rPr>
              <w:t>TCGA-YU-A94D</w:t>
            </w:r>
          </w:p>
        </w:tc>
        <w:tc>
          <w:tcPr>
            <w:tcW w:type="dxa" w:w="4535"/>
            <w:vAlign w:val="center"/>
          </w:tcPr>
          <w:p>
            <w:r>
              <w:rPr>
                <w:sz w:val="16"/>
              </w:rPr>
              <w:t>TCGA-YU-A94D-01Z-00-DX1.9B1832C3-F7CA-410A-AC74-28FCB282D05D</w:t>
            </w:r>
          </w:p>
        </w:tc>
        <w:tc>
          <w:tcPr>
            <w:tcW w:type="dxa" w:w="1247"/>
            <w:vAlign w:val="center"/>
          </w:tcPr>
          <w:p>
            <w:r>
              <w:rPr>
                <w:sz w:val="16"/>
              </w:rPr>
              <w:t>0.4327</w:t>
            </w:r>
          </w:p>
        </w:tc>
        <w:tc>
          <w:tcPr>
            <w:tcW w:type="dxa" w:w="1361"/>
            <w:vAlign w:val="center"/>
          </w:tcPr>
          <w:p>
            <w:r>
              <w:rPr>
                <w:sz w:val="16"/>
              </w:rPr>
              <w:t>0.3316</w:t>
            </w:r>
          </w:p>
        </w:tc>
        <w:tc>
          <w:tcPr>
            <w:tcW w:type="dxa" w:w="1474"/>
            <w:vAlign w:val="center"/>
          </w:tcPr>
          <w:p>
            <w:r>
              <w:rPr>
                <w:sz w:val="16"/>
              </w:rPr>
              <w:t>0.932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high/nearest neighbour</w:t>
            </w:r>
          </w:p>
        </w:tc>
        <w:tc>
          <w:tcPr>
            <w:tcW w:type="dxa" w:w="1701"/>
            <w:vAlign w:val="center"/>
          </w:tcPr>
          <w:p>
            <w:r>
              <w:rPr>
                <w:sz w:val="16"/>
              </w:rPr>
              <w:t>TCGA-W4-A7U3</w:t>
            </w:r>
          </w:p>
        </w:tc>
        <w:tc>
          <w:tcPr>
            <w:tcW w:type="dxa" w:w="4535"/>
            <w:vAlign w:val="center"/>
          </w:tcPr>
          <w:p>
            <w:r>
              <w:rPr>
                <w:sz w:val="16"/>
              </w:rPr>
              <w:t>TCGA-W4-A7U3-01Z-00-DX1.C7948BAA-2AEE-4EBC-B9E8-8D14B649B50D</w:t>
            </w:r>
          </w:p>
        </w:tc>
        <w:tc>
          <w:tcPr>
            <w:tcW w:type="dxa" w:w="1247"/>
            <w:vAlign w:val="center"/>
          </w:tcPr>
          <w:p>
            <w:r>
              <w:rPr>
                <w:sz w:val="16"/>
              </w:rPr>
              <w:t>0.3326</w:t>
            </w:r>
          </w:p>
        </w:tc>
        <w:tc>
          <w:tcPr>
            <w:tcW w:type="dxa" w:w="1361"/>
            <w:vAlign w:val="center"/>
          </w:tcPr>
          <w:p>
            <w:r>
              <w:rPr>
                <w:sz w:val="16"/>
              </w:rPr>
              <w:t>0.3102</w:t>
            </w:r>
          </w:p>
        </w:tc>
        <w:tc>
          <w:tcPr>
            <w:tcW w:type="dxa" w:w="1474"/>
            <w:vAlign w:val="center"/>
          </w:tcPr>
          <w:p>
            <w:r>
              <w:rPr>
                <w:sz w:val="16"/>
              </w:rPr>
              <w:t>0.878</w:t>
            </w:r>
          </w:p>
        </w:tc>
        <w:tc>
          <w:tcPr>
            <w:tcW w:type="dxa" w:w="1134"/>
            <w:vAlign w:val="center"/>
          </w:tcPr>
          <w:p>
            <w:r>
              <w:rPr>
                <w:sz w:val="16"/>
              </w:rPr>
              <w:t>0.767</w:t>
            </w:r>
          </w:p>
        </w:tc>
        <w:tc>
          <w:tcPr>
            <w:tcW w:type="dxa" w:w="3969"/>
            <w:vAlign w:val="center"/>
          </w:tcPr>
          <w:p>
            <w:r>
              <w:rPr>
                <w:sz w:val="16"/>
              </w:rPr>
              <w:t>glandular/tubular</w:t>
            </w:r>
          </w:p>
        </w:tc>
      </w:tr>
      <w:tr>
        <w:trPr>
          <w:cantSplit/>
        </w:trPr>
        <w:tc>
          <w:tcPr>
            <w:tcW w:type="dxa" w:w="2381"/>
            <w:vAlign w:val="center"/>
          </w:tcPr>
          <w:p>
            <w:r>
              <w:rPr>
                <w:sz w:val="16"/>
              </w:rPr>
              <w:t>TGCT–Macrophages M2</w:t>
            </w:r>
          </w:p>
        </w:tc>
        <w:tc>
          <w:tcPr>
            <w:tcW w:type="dxa" w:w="1814"/>
            <w:vAlign w:val="center"/>
          </w:tcPr>
          <w:p>
            <w:r>
              <w:rPr>
                <w:sz w:val="16"/>
              </w:rPr>
              <w:t>low/anchor</w:t>
            </w:r>
          </w:p>
        </w:tc>
        <w:tc>
          <w:tcPr>
            <w:tcW w:type="dxa" w:w="1701"/>
            <w:vAlign w:val="center"/>
          </w:tcPr>
          <w:p>
            <w:r>
              <w:rPr>
                <w:sz w:val="16"/>
              </w:rPr>
              <w:t>TCGA-2G-AAF6</w:t>
            </w:r>
          </w:p>
        </w:tc>
        <w:tc>
          <w:tcPr>
            <w:tcW w:type="dxa" w:w="4535"/>
            <w:vAlign w:val="center"/>
          </w:tcPr>
          <w:p>
            <w:r>
              <w:rPr>
                <w:sz w:val="16"/>
              </w:rPr>
              <w:t>TCGA-2G-AAF6-01Z-00-DX1.B353A681-7F69-449B-99EB-9E3C63E8693A</w:t>
            </w:r>
          </w:p>
        </w:tc>
        <w:tc>
          <w:tcPr>
            <w:tcW w:type="dxa" w:w="1247"/>
            <w:vAlign w:val="center"/>
          </w:tcPr>
          <w:p>
            <w:r>
              <w:rPr>
                <w:sz w:val="16"/>
              </w:rPr>
              <w:t>0.0792</w:t>
            </w:r>
          </w:p>
        </w:tc>
        <w:tc>
          <w:tcPr>
            <w:tcW w:type="dxa" w:w="1361"/>
            <w:vAlign w:val="center"/>
          </w:tcPr>
          <w:p>
            <w:r>
              <w:rPr>
                <w:sz w:val="16"/>
              </w:rPr>
              <w:t>0.0518</w:t>
            </w:r>
          </w:p>
        </w:tc>
        <w:tc>
          <w:tcPr>
            <w:tcW w:type="dxa" w:w="1474"/>
            <w:vAlign w:val="center"/>
          </w:tcPr>
          <w:p>
            <w:r>
              <w:rPr>
                <w:sz w:val="16"/>
              </w:rPr>
              <w:t>0.020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low/nearest neighbour</w:t>
            </w:r>
          </w:p>
        </w:tc>
        <w:tc>
          <w:tcPr>
            <w:tcW w:type="dxa" w:w="1701"/>
            <w:vAlign w:val="center"/>
          </w:tcPr>
          <w:p>
            <w:r>
              <w:rPr>
                <w:sz w:val="16"/>
              </w:rPr>
              <w:t>TCGA-2G-AAEW</w:t>
            </w:r>
          </w:p>
        </w:tc>
        <w:tc>
          <w:tcPr>
            <w:tcW w:type="dxa" w:w="4535"/>
            <w:vAlign w:val="center"/>
          </w:tcPr>
          <w:p>
            <w:r>
              <w:rPr>
                <w:sz w:val="16"/>
              </w:rPr>
              <w:t>TCGA-2G-AAEW-01Z-00-DX1.82DE89BF-C648-409C-A661-32AD5C0E4775</w:t>
            </w:r>
          </w:p>
        </w:tc>
        <w:tc>
          <w:tcPr>
            <w:tcW w:type="dxa" w:w="1247"/>
            <w:vAlign w:val="center"/>
          </w:tcPr>
          <w:p>
            <w:r>
              <w:rPr>
                <w:sz w:val="16"/>
              </w:rPr>
              <w:t>0.0827</w:t>
            </w:r>
          </w:p>
        </w:tc>
        <w:tc>
          <w:tcPr>
            <w:tcW w:type="dxa" w:w="1361"/>
            <w:vAlign w:val="center"/>
          </w:tcPr>
          <w:p>
            <w:r>
              <w:rPr>
                <w:sz w:val="16"/>
              </w:rPr>
              <w:t>0.0802</w:t>
            </w:r>
          </w:p>
        </w:tc>
        <w:tc>
          <w:tcPr>
            <w:tcW w:type="dxa" w:w="1474"/>
            <w:vAlign w:val="center"/>
          </w:tcPr>
          <w:p>
            <w:r>
              <w:rPr>
                <w:sz w:val="16"/>
              </w:rPr>
              <w:t>0.081</w:t>
            </w:r>
          </w:p>
        </w:tc>
        <w:tc>
          <w:tcPr>
            <w:tcW w:type="dxa" w:w="1134"/>
            <w:vAlign w:val="center"/>
          </w:tcPr>
          <w:p>
            <w:r>
              <w:rPr>
                <w:sz w:val="16"/>
              </w:rPr>
              <w:t>0.918</w:t>
            </w:r>
          </w:p>
        </w:tc>
        <w:tc>
          <w:tcPr>
            <w:tcW w:type="dxa" w:w="3969"/>
            <w:vAlign w:val="center"/>
          </w:tcPr>
          <w:p>
            <w:r>
              <w:rPr>
                <w:sz w:val="16"/>
              </w:rPr>
              <w:t>none of the prespecified report terms</w:t>
            </w:r>
          </w:p>
        </w:tc>
      </w:tr>
      <w:tr>
        <w:trPr>
          <w:cantSplit/>
        </w:trPr>
        <w:tc>
          <w:tcPr>
            <w:tcW w:type="dxa" w:w="2381"/>
            <w:vAlign w:val="center"/>
          </w:tcPr>
          <w:p>
            <w:r>
              <w:rPr>
                <w:sz w:val="16"/>
              </w:rPr>
              <w:t>BRCA–Wound Healing</w:t>
            </w:r>
          </w:p>
        </w:tc>
        <w:tc>
          <w:tcPr>
            <w:tcW w:type="dxa" w:w="1814"/>
            <w:vAlign w:val="center"/>
          </w:tcPr>
          <w:p>
            <w:r>
              <w:rPr>
                <w:sz w:val="16"/>
              </w:rPr>
              <w:t>high/anchor</w:t>
            </w:r>
          </w:p>
        </w:tc>
        <w:tc>
          <w:tcPr>
            <w:tcW w:type="dxa" w:w="1701"/>
            <w:vAlign w:val="center"/>
          </w:tcPr>
          <w:p>
            <w:r>
              <w:rPr>
                <w:sz w:val="16"/>
              </w:rPr>
              <w:t>TCGA-AR-A1AH</w:t>
            </w:r>
          </w:p>
        </w:tc>
        <w:tc>
          <w:tcPr>
            <w:tcW w:type="dxa" w:w="4535"/>
            <w:vAlign w:val="center"/>
          </w:tcPr>
          <w:p>
            <w:r>
              <w:rPr>
                <w:sz w:val="16"/>
              </w:rPr>
              <w:t>TCGA-AR-A1AH-01Z-00-DX1.5D5D7774-77BB-4EA0-9E8E-A8D28F70A575</w:t>
            </w:r>
          </w:p>
        </w:tc>
        <w:tc>
          <w:tcPr>
            <w:tcW w:type="dxa" w:w="1247"/>
            <w:vAlign w:val="center"/>
          </w:tcPr>
          <w:p>
            <w:r>
              <w:rPr>
                <w:sz w:val="16"/>
              </w:rPr>
              <w:t>0.2475</w:t>
            </w:r>
          </w:p>
        </w:tc>
        <w:tc>
          <w:tcPr>
            <w:tcW w:type="dxa" w:w="1361"/>
            <w:vAlign w:val="center"/>
          </w:tcPr>
          <w:p>
            <w:r>
              <w:rPr>
                <w:sz w:val="16"/>
              </w:rPr>
              <w:t>0.3821</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desmoplastic/stromal</w:t>
            </w:r>
          </w:p>
        </w:tc>
      </w:tr>
      <w:tr>
        <w:trPr>
          <w:cantSplit/>
        </w:trPr>
        <w:tc>
          <w:tcPr>
            <w:tcW w:type="dxa" w:w="2381"/>
            <w:vAlign w:val="center"/>
          </w:tcPr>
          <w:p>
            <w:r>
              <w:rPr>
                <w:sz w:val="16"/>
              </w:rPr>
              <w:t>BRCA–Wound Healing</w:t>
            </w:r>
          </w:p>
        </w:tc>
        <w:tc>
          <w:tcPr>
            <w:tcW w:type="dxa" w:w="1814"/>
            <w:vAlign w:val="center"/>
          </w:tcPr>
          <w:p>
            <w:r>
              <w:rPr>
                <w:sz w:val="16"/>
              </w:rPr>
              <w:t>high/nearest neighbour</w:t>
            </w:r>
          </w:p>
        </w:tc>
        <w:tc>
          <w:tcPr>
            <w:tcW w:type="dxa" w:w="1701"/>
            <w:vAlign w:val="center"/>
          </w:tcPr>
          <w:p>
            <w:r>
              <w:rPr>
                <w:sz w:val="16"/>
              </w:rPr>
              <w:t>TCGA-HN-A2NL</w:t>
            </w:r>
          </w:p>
        </w:tc>
        <w:tc>
          <w:tcPr>
            <w:tcW w:type="dxa" w:w="4535"/>
            <w:vAlign w:val="center"/>
          </w:tcPr>
          <w:p>
            <w:r>
              <w:rPr>
                <w:sz w:val="16"/>
              </w:rPr>
              <w:t>TCGA-HN-A2NL-01Z-00-DX1.C2EAF378-4B37-4C1C-BB0F-18FAC62EEC13</w:t>
            </w:r>
          </w:p>
        </w:tc>
        <w:tc>
          <w:tcPr>
            <w:tcW w:type="dxa" w:w="1247"/>
            <w:vAlign w:val="center"/>
          </w:tcPr>
          <w:p>
            <w:r>
              <w:rPr>
                <w:sz w:val="16"/>
              </w:rPr>
              <w:t>0.3450</w:t>
            </w:r>
          </w:p>
        </w:tc>
        <w:tc>
          <w:tcPr>
            <w:tcW w:type="dxa" w:w="1361"/>
            <w:vAlign w:val="center"/>
          </w:tcPr>
          <w:p>
            <w:r>
              <w:rPr>
                <w:sz w:val="16"/>
              </w:rPr>
              <w:t>0.3292</w:t>
            </w:r>
          </w:p>
        </w:tc>
        <w:tc>
          <w:tcPr>
            <w:tcW w:type="dxa" w:w="1474"/>
            <w:vAlign w:val="center"/>
          </w:tcPr>
          <w:p>
            <w:r>
              <w:rPr>
                <w:sz w:val="16"/>
              </w:rPr>
              <w:t>0.996</w:t>
            </w:r>
          </w:p>
        </w:tc>
        <w:tc>
          <w:tcPr>
            <w:tcW w:type="dxa" w:w="1134"/>
            <w:vAlign w:val="center"/>
          </w:tcPr>
          <w:p>
            <w:r>
              <w:rPr>
                <w:sz w:val="16"/>
              </w:rPr>
              <w:t>0.825</w:t>
            </w:r>
          </w:p>
        </w:tc>
        <w:tc>
          <w:tcPr>
            <w:tcW w:type="dxa" w:w="3969"/>
            <w:vAlign w:val="center"/>
          </w:tcPr>
          <w:p>
            <w:r>
              <w:rPr>
                <w:sz w:val="16"/>
              </w:rPr>
              <w:t>high-grade/poorly differentiated</w:t>
            </w:r>
          </w:p>
        </w:tc>
      </w:tr>
      <w:tr>
        <w:trPr>
          <w:cantSplit/>
        </w:trPr>
        <w:tc>
          <w:tcPr>
            <w:tcW w:type="dxa" w:w="2381"/>
            <w:vAlign w:val="center"/>
          </w:tcPr>
          <w:p>
            <w:r>
              <w:rPr>
                <w:sz w:val="16"/>
              </w:rPr>
              <w:t>BRCA–Wound Healing</w:t>
            </w:r>
          </w:p>
        </w:tc>
        <w:tc>
          <w:tcPr>
            <w:tcW w:type="dxa" w:w="1814"/>
            <w:vAlign w:val="center"/>
          </w:tcPr>
          <w:p>
            <w:r>
              <w:rPr>
                <w:sz w:val="16"/>
              </w:rPr>
              <w:t>low/anchor</w:t>
            </w:r>
          </w:p>
        </w:tc>
        <w:tc>
          <w:tcPr>
            <w:tcW w:type="dxa" w:w="1701"/>
            <w:vAlign w:val="center"/>
          </w:tcPr>
          <w:p>
            <w:r>
              <w:rPr>
                <w:sz w:val="16"/>
              </w:rPr>
              <w:t>TCGA-E9-A5UO</w:t>
            </w:r>
          </w:p>
        </w:tc>
        <w:tc>
          <w:tcPr>
            <w:tcW w:type="dxa" w:w="4535"/>
            <w:vAlign w:val="center"/>
          </w:tcPr>
          <w:p>
            <w:r>
              <w:rPr>
                <w:sz w:val="16"/>
              </w:rPr>
              <w:t>TCGA-E9-A5UO-01Z-00-DX1.96BFEB0C-86DB-4D3B-9364-C708937219B2</w:t>
            </w:r>
          </w:p>
        </w:tc>
        <w:tc>
          <w:tcPr>
            <w:tcW w:type="dxa" w:w="1247"/>
            <w:vAlign w:val="center"/>
          </w:tcPr>
          <w:p>
            <w:r>
              <w:rPr>
                <w:sz w:val="16"/>
              </w:rPr>
              <w:t>-0.1290</w:t>
            </w:r>
          </w:p>
        </w:tc>
        <w:tc>
          <w:tcPr>
            <w:tcW w:type="dxa" w:w="1361"/>
            <w:vAlign w:val="center"/>
          </w:tcPr>
          <w:p>
            <w:r>
              <w:rPr>
                <w:sz w:val="16"/>
              </w:rPr>
              <w:t>-0.2589</w:t>
            </w:r>
          </w:p>
        </w:tc>
        <w:tc>
          <w:tcPr>
            <w:tcW w:type="dxa" w:w="1474"/>
            <w:vAlign w:val="center"/>
          </w:tcPr>
          <w:p>
            <w:r>
              <w:rPr>
                <w:sz w:val="16"/>
              </w:rPr>
              <w:t>0.001</w:t>
            </w:r>
          </w:p>
        </w:tc>
        <w:tc>
          <w:tcPr>
            <w:tcW w:type="dxa" w:w="1134"/>
            <w:vAlign w:val="center"/>
          </w:tcPr>
          <w:p>
            <w:r>
              <w:rPr>
                <w:sz w:val="16"/>
              </w:rPr>
              <w:t>1.000</w:t>
            </w:r>
          </w:p>
        </w:tc>
        <w:tc>
          <w:tcPr>
            <w:tcW w:type="dxa" w:w="3969"/>
            <w:vAlign w:val="center"/>
          </w:tcPr>
          <w:p>
            <w:r>
              <w:rPr>
                <w:sz w:val="16"/>
              </w:rPr>
              <w:t>mucinous</w:t>
            </w:r>
          </w:p>
        </w:tc>
      </w:tr>
      <w:tr>
        <w:trPr>
          <w:cantSplit/>
        </w:trPr>
        <w:tc>
          <w:tcPr>
            <w:tcW w:type="dxa" w:w="2381"/>
            <w:vAlign w:val="center"/>
          </w:tcPr>
          <w:p>
            <w:r>
              <w:rPr>
                <w:sz w:val="16"/>
              </w:rPr>
              <w:t>BRCA–Wound Healing</w:t>
            </w:r>
          </w:p>
        </w:tc>
        <w:tc>
          <w:tcPr>
            <w:tcW w:type="dxa" w:w="1814"/>
            <w:vAlign w:val="center"/>
          </w:tcPr>
          <w:p>
            <w:r>
              <w:rPr>
                <w:sz w:val="16"/>
              </w:rPr>
              <w:t>low/nearest neighbour</w:t>
            </w:r>
          </w:p>
        </w:tc>
        <w:tc>
          <w:tcPr>
            <w:tcW w:type="dxa" w:w="1701"/>
            <w:vAlign w:val="center"/>
          </w:tcPr>
          <w:p>
            <w:r>
              <w:rPr>
                <w:sz w:val="16"/>
              </w:rPr>
              <w:t>TCGA-AC-A8OR</w:t>
            </w:r>
          </w:p>
        </w:tc>
        <w:tc>
          <w:tcPr>
            <w:tcW w:type="dxa" w:w="4535"/>
            <w:vAlign w:val="center"/>
          </w:tcPr>
          <w:p>
            <w:r>
              <w:rPr>
                <w:sz w:val="16"/>
              </w:rPr>
              <w:t>TCGA-AC-A8OR-01Z-00-DX1.C9A35592-1E73-40D4-834A-46E3471D84A3</w:t>
            </w:r>
          </w:p>
        </w:tc>
        <w:tc>
          <w:tcPr>
            <w:tcW w:type="dxa" w:w="1247"/>
            <w:vAlign w:val="center"/>
          </w:tcPr>
          <w:p>
            <w:r>
              <w:rPr>
                <w:sz w:val="16"/>
              </w:rPr>
              <w:t>-0.1420</w:t>
            </w:r>
          </w:p>
        </w:tc>
        <w:tc>
          <w:tcPr>
            <w:tcW w:type="dxa" w:w="1361"/>
            <w:vAlign w:val="center"/>
          </w:tcPr>
          <w:p>
            <w:r>
              <w:rPr>
                <w:sz w:val="16"/>
              </w:rPr>
              <w:t>-0.1024</w:t>
            </w:r>
          </w:p>
        </w:tc>
        <w:tc>
          <w:tcPr>
            <w:tcW w:type="dxa" w:w="1474"/>
            <w:vAlign w:val="center"/>
          </w:tcPr>
          <w:p>
            <w:r>
              <w:rPr>
                <w:sz w:val="16"/>
              </w:rPr>
              <w:t>0.137</w:t>
            </w:r>
          </w:p>
        </w:tc>
        <w:tc>
          <w:tcPr>
            <w:tcW w:type="dxa" w:w="1134"/>
            <w:vAlign w:val="center"/>
          </w:tcPr>
          <w:p>
            <w:r>
              <w:rPr>
                <w:sz w:val="16"/>
              </w:rPr>
              <w:t>0.838</w:t>
            </w:r>
          </w:p>
        </w:tc>
        <w:tc>
          <w:tcPr>
            <w:tcW w:type="dxa" w:w="3969"/>
            <w:vAlign w:val="center"/>
          </w:tcPr>
          <w:p>
            <w:r>
              <w:rPr>
                <w:sz w:val="16"/>
              </w:rPr>
              <w:t>mucinous; low-grade/well differentiated</w:t>
            </w:r>
          </w:p>
        </w:tc>
      </w:tr>
      <w:tr>
        <w:trPr>
          <w:cantSplit/>
        </w:trPr>
        <w:tc>
          <w:tcPr>
            <w:tcW w:type="dxa" w:w="2381"/>
            <w:vAlign w:val="center"/>
          </w:tcPr>
          <w:p>
            <w:r>
              <w:rPr>
                <w:sz w:val="16"/>
              </w:rPr>
              <w:t>UCEC–Aneuploidy score</w:t>
            </w:r>
          </w:p>
        </w:tc>
        <w:tc>
          <w:tcPr>
            <w:tcW w:type="dxa" w:w="1814"/>
            <w:vAlign w:val="center"/>
          </w:tcPr>
          <w:p>
            <w:r>
              <w:rPr>
                <w:sz w:val="16"/>
              </w:rPr>
              <w:t>high/anchor</w:t>
            </w:r>
          </w:p>
        </w:tc>
        <w:tc>
          <w:tcPr>
            <w:tcW w:type="dxa" w:w="1701"/>
            <w:vAlign w:val="center"/>
          </w:tcPr>
          <w:p>
            <w:r>
              <w:rPr>
                <w:sz w:val="16"/>
              </w:rPr>
              <w:t>TCGA-AJ-A23M</w:t>
            </w:r>
          </w:p>
        </w:tc>
        <w:tc>
          <w:tcPr>
            <w:tcW w:type="dxa" w:w="4535"/>
            <w:vAlign w:val="center"/>
          </w:tcPr>
          <w:p>
            <w:r>
              <w:rPr>
                <w:sz w:val="16"/>
              </w:rPr>
              <w:t>TCGA-AJ-A23M-01Z-00-DX1.F2FD9BFC-8A07-4F62-AFFB-4A34329254AE</w:t>
            </w:r>
          </w:p>
        </w:tc>
        <w:tc>
          <w:tcPr>
            <w:tcW w:type="dxa" w:w="1247"/>
            <w:vAlign w:val="center"/>
          </w:tcPr>
          <w:p>
            <w:r>
              <w:rPr>
                <w:sz w:val="16"/>
              </w:rPr>
              <w:t>20.0000</w:t>
            </w:r>
          </w:p>
        </w:tc>
        <w:tc>
          <w:tcPr>
            <w:tcW w:type="dxa" w:w="1361"/>
            <w:vAlign w:val="center"/>
          </w:tcPr>
          <w:p>
            <w:r>
              <w:rPr>
                <w:sz w:val="16"/>
              </w:rPr>
              <w:t>19.2810</w:t>
            </w:r>
          </w:p>
        </w:tc>
        <w:tc>
          <w:tcPr>
            <w:tcW w:type="dxa" w:w="1474"/>
            <w:vAlign w:val="center"/>
          </w:tcPr>
          <w:p>
            <w:r>
              <w:rPr>
                <w:sz w:val="16"/>
              </w:rPr>
              <w:t>0.998</w:t>
            </w:r>
          </w:p>
        </w:tc>
        <w:tc>
          <w:tcPr>
            <w:tcW w:type="dxa" w:w="1134"/>
            <w:vAlign w:val="center"/>
          </w:tcPr>
          <w:p>
            <w:r>
              <w:rPr>
                <w:sz w:val="16"/>
              </w:rPr>
              <w:t>1.000</w:t>
            </w:r>
          </w:p>
        </w:tc>
        <w:tc>
          <w:tcPr>
            <w:tcW w:type="dxa" w:w="3969"/>
            <w:vAlign w:val="center"/>
          </w:tcPr>
          <w:p>
            <w:r>
              <w:rPr>
                <w:sz w:val="16"/>
              </w:rPr>
              <w:t>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high/nearest neighbour</w:t>
            </w:r>
          </w:p>
        </w:tc>
        <w:tc>
          <w:tcPr>
            <w:tcW w:type="dxa" w:w="1701"/>
            <w:vAlign w:val="center"/>
          </w:tcPr>
          <w:p>
            <w:r>
              <w:rPr>
                <w:sz w:val="16"/>
              </w:rPr>
              <w:t>TCGA-EY-A212</w:t>
            </w:r>
          </w:p>
        </w:tc>
        <w:tc>
          <w:tcPr>
            <w:tcW w:type="dxa" w:w="4535"/>
            <w:vAlign w:val="center"/>
          </w:tcPr>
          <w:p>
            <w:r>
              <w:rPr>
                <w:sz w:val="16"/>
              </w:rPr>
              <w:t>TCGA-EY-A212-01Z-00-DX1.948F98F8-1360-406F-AF7B-B30ED54114EC</w:t>
            </w:r>
          </w:p>
        </w:tc>
        <w:tc>
          <w:tcPr>
            <w:tcW w:type="dxa" w:w="1247"/>
            <w:vAlign w:val="center"/>
          </w:tcPr>
          <w:p>
            <w:r>
              <w:rPr>
                <w:sz w:val="16"/>
              </w:rPr>
              <w:t>5.0000</w:t>
            </w:r>
          </w:p>
        </w:tc>
        <w:tc>
          <w:tcPr>
            <w:tcW w:type="dxa" w:w="1361"/>
            <w:vAlign w:val="center"/>
          </w:tcPr>
          <w:p>
            <w:r>
              <w:rPr>
                <w:sz w:val="16"/>
              </w:rPr>
              <w:t>20.6984</w:t>
            </w:r>
          </w:p>
        </w:tc>
        <w:tc>
          <w:tcPr>
            <w:tcW w:type="dxa" w:w="1474"/>
            <w:vAlign w:val="center"/>
          </w:tcPr>
          <w:p>
            <w:r>
              <w:rPr>
                <w:sz w:val="16"/>
              </w:rPr>
              <w:t>1.000</w:t>
            </w:r>
          </w:p>
        </w:tc>
        <w:tc>
          <w:tcPr>
            <w:tcW w:type="dxa" w:w="1134"/>
            <w:vAlign w:val="center"/>
          </w:tcPr>
          <w:p>
            <w:r>
              <w:rPr>
                <w:sz w:val="16"/>
              </w:rPr>
              <w:t>0.836</w:t>
            </w:r>
          </w:p>
        </w:tc>
        <w:tc>
          <w:tcPr>
            <w:tcW w:type="dxa" w:w="3969"/>
            <w:vAlign w:val="center"/>
          </w:tcPr>
          <w:p>
            <w:r>
              <w:rPr>
                <w:sz w:val="16"/>
              </w:rPr>
              <w:t>desmoplastic/stromal; 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low/anchor</w:t>
            </w:r>
          </w:p>
        </w:tc>
        <w:tc>
          <w:tcPr>
            <w:tcW w:type="dxa" w:w="1701"/>
            <w:vAlign w:val="center"/>
          </w:tcPr>
          <w:p>
            <w:r>
              <w:rPr>
                <w:sz w:val="16"/>
              </w:rPr>
              <w:t>TCGA-D1-A1NS</w:t>
            </w:r>
          </w:p>
        </w:tc>
        <w:tc>
          <w:tcPr>
            <w:tcW w:type="dxa" w:w="4535"/>
            <w:vAlign w:val="center"/>
          </w:tcPr>
          <w:p>
            <w:r>
              <w:rPr>
                <w:sz w:val="16"/>
              </w:rPr>
              <w:t>TCGA-D1-A1NS-01Z-00-DX1.9050E639-6F28-417C-9C42-6413962F6E3C</w:t>
            </w:r>
          </w:p>
        </w:tc>
        <w:tc>
          <w:tcPr>
            <w:tcW w:type="dxa" w:w="1247"/>
            <w:vAlign w:val="center"/>
          </w:tcPr>
          <w:p>
            <w:r>
              <w:rPr>
                <w:sz w:val="16"/>
              </w:rPr>
              <w:t>0.0000</w:t>
            </w:r>
          </w:p>
        </w:tc>
        <w:tc>
          <w:tcPr>
            <w:tcW w:type="dxa" w:w="1361"/>
            <w:vAlign w:val="center"/>
          </w:tcPr>
          <w:p>
            <w:r>
              <w:rPr>
                <w:sz w:val="16"/>
              </w:rPr>
              <w:t>-1.7225</w:t>
            </w:r>
          </w:p>
        </w:tc>
        <w:tc>
          <w:tcPr>
            <w:tcW w:type="dxa" w:w="1474"/>
            <w:vAlign w:val="center"/>
          </w:tcPr>
          <w:p>
            <w:r>
              <w:rPr>
                <w:sz w:val="16"/>
              </w:rPr>
              <w:t>0.002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UCEC–Aneuploidy score</w:t>
            </w:r>
          </w:p>
        </w:tc>
        <w:tc>
          <w:tcPr>
            <w:tcW w:type="dxa" w:w="1814"/>
            <w:vAlign w:val="center"/>
          </w:tcPr>
          <w:p>
            <w:r>
              <w:rPr>
                <w:sz w:val="16"/>
              </w:rPr>
              <w:t>low/nearest neighbour</w:t>
            </w:r>
          </w:p>
        </w:tc>
        <w:tc>
          <w:tcPr>
            <w:tcW w:type="dxa" w:w="1701"/>
            <w:vAlign w:val="center"/>
          </w:tcPr>
          <w:p>
            <w:r>
              <w:rPr>
                <w:sz w:val="16"/>
              </w:rPr>
              <w:t>TCGA-D1-A15W</w:t>
            </w:r>
          </w:p>
        </w:tc>
        <w:tc>
          <w:tcPr>
            <w:tcW w:type="dxa" w:w="4535"/>
            <w:vAlign w:val="center"/>
          </w:tcPr>
          <w:p>
            <w:r>
              <w:rPr>
                <w:sz w:val="16"/>
              </w:rPr>
              <w:t>TCGA-D1-A15W-01Z-00-DX1.34F5EB62-FB33-4CDA-AFAB-E74A53E16011</w:t>
            </w:r>
          </w:p>
        </w:tc>
        <w:tc>
          <w:tcPr>
            <w:tcW w:type="dxa" w:w="1247"/>
            <w:vAlign w:val="center"/>
          </w:tcPr>
          <w:p>
            <w:r>
              <w:rPr>
                <w:sz w:val="16"/>
              </w:rPr>
              <w:t>0.0000</w:t>
            </w:r>
          </w:p>
        </w:tc>
        <w:tc>
          <w:tcPr>
            <w:tcW w:type="dxa" w:w="1361"/>
            <w:vAlign w:val="center"/>
          </w:tcPr>
          <w:p>
            <w:r>
              <w:rPr>
                <w:sz w:val="16"/>
              </w:rPr>
              <w:t>-1.6847</w:t>
            </w:r>
          </w:p>
        </w:tc>
        <w:tc>
          <w:tcPr>
            <w:tcW w:type="dxa" w:w="1474"/>
            <w:vAlign w:val="center"/>
          </w:tcPr>
          <w:p>
            <w:r>
              <w:rPr>
                <w:sz w:val="16"/>
              </w:rPr>
              <w:t>0.004</w:t>
            </w:r>
          </w:p>
        </w:tc>
        <w:tc>
          <w:tcPr>
            <w:tcW w:type="dxa" w:w="1134"/>
            <w:vAlign w:val="center"/>
          </w:tcPr>
          <w:p>
            <w:r>
              <w:rPr>
                <w:sz w:val="16"/>
              </w:rPr>
              <w:t>0.956</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high/anchor</w:t>
            </w:r>
          </w:p>
        </w:tc>
        <w:tc>
          <w:tcPr>
            <w:tcW w:type="dxa" w:w="1701"/>
            <w:vAlign w:val="center"/>
          </w:tcPr>
          <w:p>
            <w:r>
              <w:rPr>
                <w:sz w:val="16"/>
              </w:rPr>
              <w:t>TCGA-ZB-A96H</w:t>
            </w:r>
          </w:p>
        </w:tc>
        <w:tc>
          <w:tcPr>
            <w:tcW w:type="dxa" w:w="4535"/>
            <w:vAlign w:val="center"/>
          </w:tcPr>
          <w:p>
            <w:r>
              <w:rPr>
                <w:sz w:val="16"/>
              </w:rPr>
              <w:t>TCGA-ZB-A96H-01Z-00-DX1.3646422A-D528-49EA-9AF5-196A12B7FE2A</w:t>
            </w:r>
          </w:p>
        </w:tc>
        <w:tc>
          <w:tcPr>
            <w:tcW w:type="dxa" w:w="1247"/>
            <w:vAlign w:val="center"/>
          </w:tcPr>
          <w:p>
            <w:r>
              <w:rPr>
                <w:sz w:val="16"/>
              </w:rPr>
              <w:t>1.0000</w:t>
            </w:r>
          </w:p>
        </w:tc>
        <w:tc>
          <w:tcPr>
            <w:tcW w:type="dxa" w:w="1361"/>
            <w:vAlign w:val="center"/>
          </w:tcPr>
          <w:p>
            <w:r>
              <w:rPr>
                <w:sz w:val="16"/>
              </w:rPr>
              <w:t>17.8648</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high/nearest neighbour</w:t>
            </w:r>
          </w:p>
        </w:tc>
        <w:tc>
          <w:tcPr>
            <w:tcW w:type="dxa" w:w="1701"/>
            <w:vAlign w:val="center"/>
          </w:tcPr>
          <w:p>
            <w:r>
              <w:rPr>
                <w:sz w:val="16"/>
              </w:rPr>
              <w:t>TCGA-ZB-A96E</w:t>
            </w:r>
          </w:p>
        </w:tc>
        <w:tc>
          <w:tcPr>
            <w:tcW w:type="dxa" w:w="4535"/>
            <w:vAlign w:val="center"/>
          </w:tcPr>
          <w:p>
            <w:r>
              <w:rPr>
                <w:sz w:val="16"/>
              </w:rPr>
              <w:t>TCGA-ZB-A96E-01Z-00-DX1.F5D4CCAE-090D-467B-87D8-F07501A8D64D</w:t>
            </w:r>
          </w:p>
        </w:tc>
        <w:tc>
          <w:tcPr>
            <w:tcW w:type="dxa" w:w="1247"/>
            <w:vAlign w:val="center"/>
          </w:tcPr>
          <w:p>
            <w:r>
              <w:rPr>
                <w:sz w:val="16"/>
              </w:rPr>
              <w:t>1.0000</w:t>
            </w:r>
          </w:p>
        </w:tc>
        <w:tc>
          <w:tcPr>
            <w:tcW w:type="dxa" w:w="1361"/>
            <w:vAlign w:val="center"/>
          </w:tcPr>
          <w:p>
            <w:r>
              <w:rPr>
                <w:sz w:val="16"/>
              </w:rPr>
              <w:t>9.4740</w:t>
            </w:r>
          </w:p>
        </w:tc>
        <w:tc>
          <w:tcPr>
            <w:tcW w:type="dxa" w:w="1474"/>
            <w:vAlign w:val="center"/>
          </w:tcPr>
          <w:p>
            <w:r>
              <w:rPr>
                <w:sz w:val="16"/>
              </w:rPr>
              <w:t>0.850</w:t>
            </w:r>
          </w:p>
        </w:tc>
        <w:tc>
          <w:tcPr>
            <w:tcW w:type="dxa" w:w="1134"/>
            <w:vAlign w:val="center"/>
          </w:tcPr>
          <w:p>
            <w:r>
              <w:rPr>
                <w:sz w:val="16"/>
              </w:rPr>
              <w:t>0.872</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low/anchor</w:t>
            </w:r>
          </w:p>
        </w:tc>
        <w:tc>
          <w:tcPr>
            <w:tcW w:type="dxa" w:w="1701"/>
            <w:vAlign w:val="center"/>
          </w:tcPr>
          <w:p>
            <w:r>
              <w:rPr>
                <w:sz w:val="16"/>
              </w:rPr>
              <w:t>TCGA-4V-A9QS</w:t>
            </w:r>
          </w:p>
        </w:tc>
        <w:tc>
          <w:tcPr>
            <w:tcW w:type="dxa" w:w="4535"/>
            <w:vAlign w:val="center"/>
          </w:tcPr>
          <w:p>
            <w:r>
              <w:rPr>
                <w:sz w:val="16"/>
              </w:rPr>
              <w:t>TCGA-4V-A9QS-01Z-00-DX1.2E2AFA63-D5DD-44D0-801A-D2F5738A4F1B</w:t>
            </w:r>
          </w:p>
        </w:tc>
        <w:tc>
          <w:tcPr>
            <w:tcW w:type="dxa" w:w="1247"/>
            <w:vAlign w:val="center"/>
          </w:tcPr>
          <w:p>
            <w:r>
              <w:rPr>
                <w:sz w:val="16"/>
              </w:rPr>
              <w:t>0.0000</w:t>
            </w:r>
          </w:p>
        </w:tc>
        <w:tc>
          <w:tcPr>
            <w:tcW w:type="dxa" w:w="1361"/>
            <w:vAlign w:val="center"/>
          </w:tcPr>
          <w:p>
            <w:r>
              <w:rPr>
                <w:sz w:val="16"/>
              </w:rPr>
              <w:t>-29.9794</w:t>
            </w:r>
          </w:p>
        </w:tc>
        <w:tc>
          <w:tcPr>
            <w:tcW w:type="dxa" w:w="1474"/>
            <w:vAlign w:val="center"/>
          </w:tcPr>
          <w:p>
            <w:r>
              <w:rPr>
                <w:sz w:val="16"/>
              </w:rPr>
              <w:t>0.008</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low/nearest neighbour</w:t>
            </w:r>
          </w:p>
        </w:tc>
        <w:tc>
          <w:tcPr>
            <w:tcW w:type="dxa" w:w="1701"/>
            <w:vAlign w:val="center"/>
          </w:tcPr>
          <w:p>
            <w:r>
              <w:rPr>
                <w:sz w:val="16"/>
              </w:rPr>
              <w:t>TCGA-4V-A9QJ</w:t>
            </w:r>
          </w:p>
        </w:tc>
        <w:tc>
          <w:tcPr>
            <w:tcW w:type="dxa" w:w="4535"/>
            <w:vAlign w:val="center"/>
          </w:tcPr>
          <w:p>
            <w:r>
              <w:rPr>
                <w:sz w:val="16"/>
              </w:rPr>
              <w:t>TCGA-4V-A9QJ-01Z-00-DX1.1D2A7170-200C-4355-A7E6-C611532F8AC9</w:t>
            </w:r>
          </w:p>
        </w:tc>
        <w:tc>
          <w:tcPr>
            <w:tcW w:type="dxa" w:w="1247"/>
            <w:vAlign w:val="center"/>
          </w:tcPr>
          <w:p>
            <w:r>
              <w:rPr>
                <w:sz w:val="16"/>
              </w:rPr>
              <w:t>0.0000</w:t>
            </w:r>
          </w:p>
        </w:tc>
        <w:tc>
          <w:tcPr>
            <w:tcW w:type="dxa" w:w="1361"/>
            <w:vAlign w:val="center"/>
          </w:tcPr>
          <w:p>
            <w:r>
              <w:rPr>
                <w:sz w:val="16"/>
              </w:rPr>
              <w:t>-18.3270</w:t>
            </w:r>
          </w:p>
        </w:tc>
        <w:tc>
          <w:tcPr>
            <w:tcW w:type="dxa" w:w="1474"/>
            <w:vAlign w:val="center"/>
          </w:tcPr>
          <w:p>
            <w:r>
              <w:rPr>
                <w:sz w:val="16"/>
              </w:rPr>
              <w:t>0.017</w:t>
            </w:r>
          </w:p>
        </w:tc>
        <w:tc>
          <w:tcPr>
            <w:tcW w:type="dxa" w:w="1134"/>
            <w:vAlign w:val="center"/>
          </w:tcPr>
          <w:p>
            <w:r>
              <w:rPr>
                <w:sz w:val="16"/>
              </w:rPr>
              <w:t>0.905</w:t>
            </w:r>
          </w:p>
        </w:tc>
        <w:tc>
          <w:tcPr>
            <w:tcW w:type="dxa" w:w="3969"/>
            <w:vAlign w:val="center"/>
          </w:tcPr>
          <w:p>
            <w:r>
              <w:rPr>
                <w:sz w:val="16"/>
              </w:rPr>
              <w:t>necrosis</w:t>
            </w:r>
          </w:p>
        </w:tc>
      </w:tr>
    </w:tbl>
    <w:p/>
    <w:p>
      <w:pPr>
        <w:jc w:val="center"/>
      </w:pPr>
      <w:r>
        <w:drawing>
          <wp:inline xmlns:a="http://schemas.openxmlformats.org/drawingml/2006/main" xmlns:pic="http://schemas.openxmlformats.org/drawingml/2006/picture">
            <wp:extent cx="8046720" cy="5096256"/>
            <wp:docPr id="2" name="Picture 2"/>
            <wp:cNvGraphicFramePr>
              <a:graphicFrameLocks noChangeAspect="1"/>
            </wp:cNvGraphicFramePr>
            <a:graphic>
              <a:graphicData uri="http://schemas.openxmlformats.org/drawingml/2006/picture">
                <pic:pic>
                  <pic:nvPicPr>
                    <pic:cNvPr id="0" name="FigureS4_morphology_context.png"/>
                    <pic:cNvPicPr/>
                  </pic:nvPicPr>
                  <pic:blipFill>
                    <a:blip r:embed="rId12"/>
                    <a:stretch>
                      <a:fillRect/>
                    </a:stretch>
                  </pic:blipFill>
                  <pic:spPr>
                    <a:xfrm>
                      <a:off x="0" y="0"/>
                      <a:ext cx="8046720" cy="5096256"/>
                    </a:xfrm>
                    <a:prstGeom prst="rect"/>
                  </pic:spPr>
                </pic:pic>
              </a:graphicData>
            </a:graphic>
          </wp:inline>
        </w:drawing>
      </w:r>
    </w:p>
    <w:p>
      <w:pPr>
        <w:pStyle w:val="Caption"/>
        <w:jc w:val="center"/>
      </w:pPr>
      <w:r>
        <w:t>Figure S4. Qualitative morphology context for five representative label modalities. Grey points are all repeated out-of-fold patient predictions. H/L are concordant high/low anchors and triangles are their closest within-cancer patient-level mean-embedding neighbours. The BLCA TIL Regional Fraction target was itself inferred from H&amp;E. Neighbour retrieval is not patch-level attribution; exact patient/slide identifiers, original predictions and automated-report provenance are in Table S14.</w:t>
      </w:r>
    </w:p>
    <w:p>
      <w:pPr>
        <w:sectPr>
          <w:pgSz w:w="16838" w:h="11906" w:orient="landscape"/>
          <w:pgMar w:top="850" w:right="850" w:bottom="850" w:left="850" w:header="720" w:footer="720" w:gutter="0"/>
          <w:cols w:space="720"/>
          <w:docGrid w:linePitch="360"/>
          <w:lnNumType w:countBy="1" w:restart="continuous"/>
          <w:lnNumType w:countBy="1" w:restart="continuous"/>
          <w:lnNumType w:countBy="1" w:restart="continuous"/>
          <w:lnNumType w:countBy="1" w:restart="continuous"/>
        </w:sectPr>
      </w:pPr>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3" name="Picture 3"/>
            <wp:cNvGraphicFramePr>
              <a:graphicFrameLocks noChangeAspect="1"/>
            </wp:cNvGraphicFramePr>
            <a:graphic>
              <a:graphicData uri="http://schemas.openxmlformats.org/drawingml/2006/picture">
                <pic:pic>
                  <pic:nvPicPr>
                    <pic:cNvPr id="0" name="Figure6a_pls1_vs_pls2_targets.png"/>
                    <pic:cNvPicPr/>
                  </pic:nvPicPr>
                  <pic:blipFill>
                    <a:blip r:embed="rId13"/>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4" name="Picture 4"/>
            <wp:cNvGraphicFramePr>
              <a:graphicFrameLocks noChangeAspect="1"/>
            </wp:cNvGraphicFramePr>
            <a:graphic>
              <a:graphicData uri="http://schemas.openxmlformats.org/drawingml/2006/picture">
                <pic:pic>
                  <pic:nvPicPr>
                    <pic:cNvPr id="0" name="Figure6b_pls1_vs_pls2_cancers.png"/>
                    <pic:cNvPicPr/>
                  </pic:nvPicPr>
                  <pic:blipFill>
                    <a:blip r:embed="rId14"/>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endpoint_dictionary.csv</w:t>
      </w:r>
    </w:p>
    <w:p>
      <w:pPr>
        <w:pStyle w:val="ListBullet"/>
        <w:spacing w:after="0" w:line="288" w:lineRule="auto"/>
      </w:pPr>
      <w:r>
        <w:t>endpoint_definition_dictionary.csv</w:t>
      </w:r>
    </w:p>
    <w:p>
      <w:pPr>
        <w:pStyle w:val="ListBullet"/>
        <w:spacing w:after="0" w:line="288" w:lineRule="auto"/>
      </w:pPr>
      <w:r>
        <w:t>endpoint_dictionary_summary.csv</w:t>
      </w:r>
    </w:p>
    <w:p>
      <w:pPr>
        <w:pStyle w:val="ListBullet"/>
        <w:spacing w:after="0" w:line="288" w:lineRule="auto"/>
      </w:pPr>
      <w:r>
        <w:t>morphology_context_examples.csv</w:t>
      </w:r>
    </w:p>
    <w:p>
      <w:pPr>
        <w:pStyle w:val="ListBullet"/>
        <w:spacing w:after="0" w:line="288" w:lineRule="auto"/>
      </w:pPr>
      <w:r>
        <w:t>morphology_context_model_summary.csv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pls_vs_ridge_representative_sampling_frame.csv</w:t>
      </w:r>
    </w:p>
    <w:p>
      <w:pPr>
        <w:pStyle w:val="ListBullet"/>
        <w:spacing w:after="0" w:line="288" w:lineRule="auto"/>
      </w:pPr>
      <w:r>
        <w:t>pls_vs_ridge_representative_jobs.csv</w:t>
      </w:r>
    </w:p>
    <w:p>
      <w:pPr>
        <w:pStyle w:val="ListBullet"/>
        <w:spacing w:after="0" w:line="288" w:lineRule="auto"/>
      </w:pPr>
      <w:r>
        <w:t>pls_vs_ridge_representative_repeated_nested_cv.csv</w:t>
      </w:r>
    </w:p>
    <w:p>
      <w:pPr>
        <w:pStyle w:val="ListBullet"/>
        <w:spacing w:after="0" w:line="288" w:lineRule="auto"/>
      </w:pPr>
      <w:r>
        <w:t>binary_symmetric_pls_ridge_representative_repeated_nested_cv.csv</w:t>
      </w:r>
    </w:p>
    <w:p>
      <w:pPr>
        <w:pStyle w:val="ListBullet"/>
        <w:spacing w:after="0" w:line="288" w:lineRule="auto"/>
      </w:pPr>
      <w:r>
        <w:t>pls_vs_ridge_representative_paired_repeat_metrics.csv</w:t>
      </w:r>
    </w:p>
    <w:p>
      <w:pPr>
        <w:pStyle w:val="ListBullet"/>
        <w:spacing w:after="0" w:line="288" w:lineRule="auto"/>
      </w:pPr>
      <w:r>
        <w:t>pls_vs_ridge_representative_matched_oof_predictions.csv.gz</w:t>
      </w:r>
    </w:p>
    <w:p>
      <w:pPr>
        <w:pStyle w:val="ListBullet"/>
        <w:spacing w:after="0" w:line="288" w:lineRule="auto"/>
      </w:pPr>
      <w:r>
        <w:t>pls_vs_ridge_representative_models.csv</w:t>
      </w:r>
    </w:p>
    <w:p>
      <w:pPr>
        <w:pStyle w:val="ListBullet"/>
        <w:spacing w:after="0" w:line="288" w:lineRule="auto"/>
      </w:pPr>
      <w:r>
        <w:t>pls_vs_ridge_representative_summary.csv</w:t>
      </w:r>
    </w:p>
    <w:p>
      <w:pPr>
        <w:pStyle w:val="ListBullet"/>
        <w:spacing w:after="0" w:line="288" w:lineRule="auto"/>
      </w:pPr>
      <w:r>
        <w:t>pls_vs_ridge_representative_stratified_summary.csv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