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patient-level TCGA discovery atlas of molecular and immune predictability from pretrained TITAN whole-slide representations across 32 cancers</w:t>
      </w:r>
    </w:p>
    <w:p>
      <w:pPr>
        <w:jc w:val="center"/>
      </w:pPr>
      <w:r>
        <w:rPr>
          <w:b/>
        </w:rPr>
        <w:t>Aamilah Ismail</w:t>
      </w:r>
      <w:r>
        <w:rPr>
          <w:vertAlign w:val="superscript"/>
        </w:rPr>
        <w:t>3,*</w:t>
      </w:r>
      <w:r>
        <w:t xml:space="preserve">, </w:t>
      </w:r>
      <w:r>
        <w:rPr>
          <w:b/>
        </w:rPr>
        <w:t>Martin Ocharo</w:t>
      </w:r>
      <w:r>
        <w:rPr>
          <w:vertAlign w:val="superscript"/>
        </w:rPr>
        <w:t>1,*</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Deep-learning studies have shown that haematoxylin-and-eosin images encode mutations, microsatellite instability, transcriptomic programmes and tumour-microenvironment phenotypes. We evaluated which individual molecular, genomic-instability and immune endpoints are predictable within cancer type from reusable TITAN whole-slide representations.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a 999-permutation refinement with conservative sequential stopping, Benjamini–Hochberg control within cancer and endpoint family, and a stricter across-cancer family correction.</w:t>
      </w:r>
    </w:p>
    <w:p>
      <w:r>
        <w:rPr>
          <w:b/>
        </w:rPr>
        <w:t xml:space="preserve">Results. </w:t>
      </w:r>
      <w:r>
        <w:t>Within-cancer screening identified 219 continuous and 104 binary higher- or moderate-effect candidates. Highlighted repeated-CV results included BRCA–Wound Healing (Q² -0.169, 95% bootstrap interval -0.196–-0.148; RMSE 0.174, Spearman -0.002) and LGG–TP53 (sensitivity 0.839, specificity 0.885, balanced accuracy 0.862, 95% bootstrap interval 0.833–0.888; AUROC 0.908). Under the multiplicity sensitivity, 219 continuous and 39 cancer–mutation pairs passed the stricter across-cancer correction; its attainable q-values in large families were limited by the 0.001 empirical-p resolution. Repeated nested validation, site-grouped folds and first-slide sensitivity quantified uncertainty, centre dependence and slide-aggregation dependence.</w:t>
      </w:r>
    </w:p>
    <w:p>
      <w:r>
        <w:rPr>
          <w:b/>
        </w:rPr>
        <w:t xml:space="preserve">Conclusions. </w:t>
      </w:r>
      <w:r>
        <w:t>Pretrained TITAN representations support a cancer-specific TCGA discovery atlas spanning immune and molecular phenotypes. The models are internally validated research candidates, do not replace molecular assays, and require independent external validation before clinical interpretation.</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 latent-variable method suited to correlated high-dimensional predictors [17,18].</w:t>
      </w:r>
    </w:p>
    <w:p>
      <w:r>
        <w:t>A practical feature of the fitted analysis is model portability. A PLS or PLS–LDA predictor can be distributed as preprocessing parameters, latent-variable weights, regression coefficients and LDA parameters. Prediction therefore does not require release of the patient-level training embeddings or outcomes. This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and AUROC from continuous LDA scores was secondary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Spearman correlation used observed and held-out continuous predictions.</w:t>
      </w:r>
    </w:p>
    <w:p>
      <w:r>
        <w:t>No class under-sampling, over-sampling or synthetic augmentation was used. LDA used the observed training-fold class priors and returned a class plus an uncalibrated discriminant score, not a probability or clinical-risk threshold. Outcome tables were constructed independently of TITAN feature processing and joined only after patient-level aggregation.</w:t>
      </w:r>
    </w:p>
    <w:p>
      <w:r>
        <w:t>Nested performance was first checkpointed for the complete atlas. Only models with Q²≥0.20 or chance-corrected balanced accuracy≥0.20 entered permutation testing. A 99-permutation checkpoint was followed by refinement toward 999 patient-label permutations. During final refinement, evaluation stopped conservatively after 49 exceedances because raw p&lt;0.05 was then impossible even if every remaining null statistic were less extreme; stopped endpoints were assigned p=1. Early-stopped checkpoint jobs resumed from the exact number attempted, so no permutation indices were skipped. Regression extremeness used lower RMSE, whereas classification used higher balanced accuracy. Completed finite p values were (b+1)/(B+1), giving minimum resolution 0.001. Because each disease defines a separate prediction and intended-use population, Benjamini–Hochberg FDR was controlled separately for continuous and binary screens within cancer and prespecified endpoint family [27]; a q-value across cancers within the same outcome type and family was retained as a stricter multiplicity sensitivity.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These categories prioritise discovery candidates and are not clinical grades.</w:t>
      </w:r>
    </w:p>
    <w:p>
      <w:pPr>
        <w:pStyle w:val="Heading2"/>
      </w:pPr>
      <w:r>
        <w:t>Robustness and saved models</w:t>
      </w:r>
    </w:p>
    <w:p>
      <w:r>
        <w:t>Screen-positive models were repeated under five independently seeded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held-out predictions for each sampled patient, recalculated metrics within repeat and then averaged them; percentile 2.5th and 97.5th quantiles formed the 95% intervals. Site-grouped validation assigned all patients sharing a two-character TCGA tissue-source-site code to the same outer fold, preventing a site from appearing in both training and test partitions for that fold.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The fitted PLS and PLS–LDA objects contain the learned transformations and coefficients needed for inference but no patient-level training rows. The public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released target catalogues, out-of-fold prediction summaries, figures, model registry and inference example are organized in the companion repository [30]. Local checkpoint and fitted-model objects are generated by the scripts but are not claimed as publicly redistributed because TITAN-derived artifacts remain subject to upstream terms. No independent cohort with compatible TITAN features and the required labels was included; all performance estimates remain internal to TCGA.</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S1–S2 and the machine-readable-file inventory are provided in Additional file 1.</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atlas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atlas.</w:t>
      </w:r>
    </w:p>
    <w:p>
      <w:pPr>
        <w:pStyle w:val="Heading2"/>
      </w:pPr>
      <w:r>
        <w:t>Binary molecular phenotypes</w:t>
      </w:r>
    </w:p>
    <w:p>
      <w:r>
        <w:t>The binary atlas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using PLS latent scores and LDA. Point size represents the number of positive patients; colour indicates endpoint family and symbols report across-cancer correction status.</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2. Highlighted repeated nested-cross-validation performance with 95% patient-cluster bootstrap intervals.</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Cancer–endpoint</w:t>
            </w:r>
          </w:p>
        </w:tc>
        <w:tc>
          <w:tcPr>
            <w:tcW w:type="dxa" w:w="1949"/>
          </w:tcPr>
          <w:p>
            <w:r>
              <w:rPr>
                <w:b/>
                <w:sz w:val="17"/>
              </w:rPr>
              <w:t>Type</w:t>
            </w:r>
          </w:p>
        </w:tc>
        <w:tc>
          <w:tcPr>
            <w:tcW w:type="dxa" w:w="1949"/>
          </w:tcPr>
          <w:p>
            <w:r>
              <w:rPr>
                <w:b/>
                <w:sz w:val="17"/>
              </w:rPr>
              <w:t>Q² or Se/Sp (95% CI)</w:t>
            </w:r>
          </w:p>
        </w:tc>
        <w:tc>
          <w:tcPr>
            <w:tcW w:type="dxa" w:w="1949"/>
          </w:tcPr>
          <w:p>
            <w:r>
              <w:rPr>
                <w:b/>
                <w:sz w:val="17"/>
              </w:rPr>
              <w:t>RMSE or BA (95% CI)</w:t>
            </w:r>
          </w:p>
        </w:tc>
        <w:tc>
          <w:tcPr>
            <w:tcW w:type="dxa" w:w="1949"/>
          </w:tcPr>
          <w:p>
            <w:r>
              <w:rPr>
                <w:b/>
                <w:sz w:val="17"/>
              </w:rPr>
              <w:t>Spearman or AUROC (95% CI)</w:t>
            </w:r>
          </w:p>
        </w:tc>
      </w:tr>
      <w:tr>
        <w:trPr>
          <w:cantSplit/>
        </w:trPr>
        <w:tc>
          <w:tcPr>
            <w:tcW w:type="dxa" w:w="1949"/>
            <w:vAlign w:val="center"/>
          </w:tcPr>
          <w:p>
            <w:r>
              <w:rPr>
                <w:sz w:val="16"/>
              </w:rPr>
              <w:t>BRCA–Wound Healing</w:t>
            </w:r>
          </w:p>
        </w:tc>
        <w:tc>
          <w:tcPr>
            <w:tcW w:type="dxa" w:w="1949"/>
            <w:vAlign w:val="center"/>
          </w:tcPr>
          <w:p>
            <w:r>
              <w:rPr>
                <w:sz w:val="16"/>
              </w:rPr>
              <w:t>continuous</w:t>
            </w:r>
          </w:p>
        </w:tc>
        <w:tc>
          <w:tcPr>
            <w:tcW w:type="dxa" w:w="1949"/>
            <w:vAlign w:val="center"/>
          </w:tcPr>
          <w:p>
            <w:r>
              <w:rPr>
                <w:sz w:val="16"/>
              </w:rPr>
              <w:t>-0.169 (-0.196–-0.148)</w:t>
            </w:r>
          </w:p>
        </w:tc>
        <w:tc>
          <w:tcPr>
            <w:tcW w:type="dxa" w:w="1949"/>
            <w:vAlign w:val="center"/>
          </w:tcPr>
          <w:p>
            <w:r>
              <w:rPr>
                <w:sz w:val="16"/>
              </w:rPr>
              <w:t>0.174 (0.168–0.181)</w:t>
            </w:r>
          </w:p>
        </w:tc>
        <w:tc>
          <w:tcPr>
            <w:tcW w:type="dxa" w:w="1949"/>
            <w:vAlign w:val="center"/>
          </w:tcPr>
          <w:p>
            <w:r>
              <w:rPr>
                <w:sz w:val="16"/>
              </w:rPr>
              <w:t>-0.002 (-0.030–0.026)</w:t>
            </w:r>
          </w:p>
        </w:tc>
      </w:tr>
      <w:tr>
        <w:trPr>
          <w:cantSplit/>
        </w:trPr>
        <w:tc>
          <w:tcPr>
            <w:tcW w:type="dxa" w:w="1949"/>
            <w:vAlign w:val="center"/>
          </w:tcPr>
          <w:p>
            <w:r>
              <w:rPr>
                <w:sz w:val="16"/>
              </w:rPr>
              <w:t>KIRP–Proliferation</w:t>
            </w:r>
          </w:p>
        </w:tc>
        <w:tc>
          <w:tcPr>
            <w:tcW w:type="dxa" w:w="1949"/>
            <w:vAlign w:val="center"/>
          </w:tcPr>
          <w:p>
            <w:r>
              <w:rPr>
                <w:sz w:val="16"/>
              </w:rPr>
              <w:t>continuous</w:t>
            </w:r>
          </w:p>
        </w:tc>
        <w:tc>
          <w:tcPr>
            <w:tcW w:type="dxa" w:w="1949"/>
            <w:vAlign w:val="center"/>
          </w:tcPr>
          <w:p>
            <w:r>
              <w:rPr>
                <w:sz w:val="16"/>
              </w:rPr>
              <w:t>-0.205 (-0.269–-0.157)</w:t>
            </w:r>
          </w:p>
        </w:tc>
        <w:tc>
          <w:tcPr>
            <w:tcW w:type="dxa" w:w="1949"/>
            <w:vAlign w:val="center"/>
          </w:tcPr>
          <w:p>
            <w:r>
              <w:rPr>
                <w:sz w:val="16"/>
              </w:rPr>
              <w:t>0.620 (0.560–0.673)</w:t>
            </w:r>
          </w:p>
        </w:tc>
        <w:tc>
          <w:tcPr>
            <w:tcW w:type="dxa" w:w="1949"/>
            <w:vAlign w:val="center"/>
          </w:tcPr>
          <w:p>
            <w:r>
              <w:rPr>
                <w:sz w:val="16"/>
              </w:rPr>
              <w:t>0.010 (-0.040–0.066)</w:t>
            </w:r>
          </w:p>
        </w:tc>
      </w:tr>
      <w:tr>
        <w:trPr>
          <w:cantSplit/>
        </w:trPr>
        <w:tc>
          <w:tcPr>
            <w:tcW w:type="dxa" w:w="1949"/>
            <w:vAlign w:val="center"/>
          </w:tcPr>
          <w:p>
            <w:r>
              <w:rPr>
                <w:sz w:val="16"/>
              </w:rPr>
              <w:t>BRCA–Proliferation</w:t>
            </w:r>
          </w:p>
        </w:tc>
        <w:tc>
          <w:tcPr>
            <w:tcW w:type="dxa" w:w="1949"/>
            <w:vAlign w:val="center"/>
          </w:tcPr>
          <w:p>
            <w:r>
              <w:rPr>
                <w:sz w:val="16"/>
              </w:rPr>
              <w:t>continuous</w:t>
            </w:r>
          </w:p>
        </w:tc>
        <w:tc>
          <w:tcPr>
            <w:tcW w:type="dxa" w:w="1949"/>
            <w:vAlign w:val="center"/>
          </w:tcPr>
          <w:p>
            <w:r>
              <w:rPr>
                <w:sz w:val="16"/>
              </w:rPr>
              <w:t>-0.239 (-0.279–-0.206)</w:t>
            </w:r>
          </w:p>
        </w:tc>
        <w:tc>
          <w:tcPr>
            <w:tcW w:type="dxa" w:w="1949"/>
            <w:vAlign w:val="center"/>
          </w:tcPr>
          <w:p>
            <w:r>
              <w:rPr>
                <w:sz w:val="16"/>
              </w:rPr>
              <w:t>0.704 (0.679–0.729)</w:t>
            </w:r>
          </w:p>
        </w:tc>
        <w:tc>
          <w:tcPr>
            <w:tcW w:type="dxa" w:w="1949"/>
            <w:vAlign w:val="center"/>
          </w:tcPr>
          <w:p>
            <w:r>
              <w:rPr>
                <w:sz w:val="16"/>
              </w:rPr>
              <w:t>0.012 (-0.014–0.040)</w:t>
            </w:r>
          </w:p>
        </w:tc>
      </w:tr>
      <w:tr>
        <w:trPr>
          <w:cantSplit/>
        </w:trPr>
        <w:tc>
          <w:tcPr>
            <w:tcW w:type="dxa" w:w="1949"/>
            <w:vAlign w:val="center"/>
          </w:tcPr>
          <w:p>
            <w:r>
              <w:rPr>
                <w:sz w:val="16"/>
              </w:rPr>
              <w:t>TGCT–Wound Healing</w:t>
            </w:r>
          </w:p>
        </w:tc>
        <w:tc>
          <w:tcPr>
            <w:tcW w:type="dxa" w:w="1949"/>
            <w:vAlign w:val="center"/>
          </w:tcPr>
          <w:p>
            <w:r>
              <w:rPr>
                <w:sz w:val="16"/>
              </w:rPr>
              <w:t>continuous</w:t>
            </w:r>
          </w:p>
        </w:tc>
        <w:tc>
          <w:tcPr>
            <w:tcW w:type="dxa" w:w="1949"/>
            <w:vAlign w:val="center"/>
          </w:tcPr>
          <w:p>
            <w:r>
              <w:rPr>
                <w:sz w:val="16"/>
              </w:rPr>
              <w:t>-0.368 (-0.553–-0.247)</w:t>
            </w:r>
          </w:p>
        </w:tc>
        <w:tc>
          <w:tcPr>
            <w:tcW w:type="dxa" w:w="1949"/>
            <w:vAlign w:val="center"/>
          </w:tcPr>
          <w:p>
            <w:r>
              <w:rPr>
                <w:sz w:val="16"/>
              </w:rPr>
              <w:t>0.227 (0.208–0.244)</w:t>
            </w:r>
          </w:p>
        </w:tc>
        <w:tc>
          <w:tcPr>
            <w:tcW w:type="dxa" w:w="1949"/>
            <w:vAlign w:val="center"/>
          </w:tcPr>
          <w:p>
            <w:r>
              <w:rPr>
                <w:sz w:val="16"/>
              </w:rPr>
              <w:t>0.008 (-0.062–0.080)</w:t>
            </w:r>
          </w:p>
        </w:tc>
      </w:tr>
      <w:tr>
        <w:trPr>
          <w:cantSplit/>
        </w:trPr>
        <w:tc>
          <w:tcPr>
            <w:tcW w:type="dxa" w:w="1949"/>
            <w:vAlign w:val="center"/>
          </w:tcPr>
          <w:p>
            <w:r>
              <w:rPr>
                <w:sz w:val="16"/>
              </w:rPr>
              <w:t>LGG–TP53</w:t>
            </w:r>
          </w:p>
        </w:tc>
        <w:tc>
          <w:tcPr>
            <w:tcW w:type="dxa" w:w="1949"/>
            <w:vAlign w:val="center"/>
          </w:tcPr>
          <w:p>
            <w:r>
              <w:rPr>
                <w:sz w:val="16"/>
              </w:rPr>
              <w:t>binary</w:t>
            </w:r>
          </w:p>
        </w:tc>
        <w:tc>
          <w:tcPr>
            <w:tcW w:type="dxa" w:w="1949"/>
            <w:vAlign w:val="center"/>
          </w:tcPr>
          <w:p>
            <w:r>
              <w:rPr>
                <w:sz w:val="16"/>
              </w:rPr>
              <w:t>Se 0.839 (0.795–0.877); Sp 0.885 (0.848–0.920)</w:t>
            </w:r>
          </w:p>
        </w:tc>
        <w:tc>
          <w:tcPr>
            <w:tcW w:type="dxa" w:w="1949"/>
            <w:vAlign w:val="center"/>
          </w:tcPr>
          <w:p>
            <w:r>
              <w:rPr>
                <w:sz w:val="16"/>
              </w:rPr>
              <w:t>BA 0.862 (0.833–0.888)</w:t>
            </w:r>
          </w:p>
        </w:tc>
        <w:tc>
          <w:tcPr>
            <w:tcW w:type="dxa" w:w="1949"/>
            <w:vAlign w:val="center"/>
          </w:tcPr>
          <w:p>
            <w:r>
              <w:rPr>
                <w:sz w:val="16"/>
              </w:rPr>
              <w:t>AUROC 0.908 (0.880–0.932)</w:t>
            </w:r>
          </w:p>
        </w:tc>
      </w:tr>
      <w:tr>
        <w:trPr>
          <w:cantSplit/>
        </w:trPr>
        <w:tc>
          <w:tcPr>
            <w:tcW w:type="dxa" w:w="1949"/>
            <w:vAlign w:val="center"/>
          </w:tcPr>
          <w:p>
            <w:r>
              <w:rPr>
                <w:sz w:val="16"/>
              </w:rPr>
              <w:t>THYM–GTF2I</w:t>
            </w:r>
          </w:p>
        </w:tc>
        <w:tc>
          <w:tcPr>
            <w:tcW w:type="dxa" w:w="1949"/>
            <w:vAlign w:val="center"/>
          </w:tcPr>
          <w:p>
            <w:r>
              <w:rPr>
                <w:sz w:val="16"/>
              </w:rPr>
              <w:t>binary</w:t>
            </w:r>
          </w:p>
        </w:tc>
        <w:tc>
          <w:tcPr>
            <w:tcW w:type="dxa" w:w="1949"/>
            <w:vAlign w:val="center"/>
          </w:tcPr>
          <w:p>
            <w:r>
              <w:rPr>
                <w:sz w:val="16"/>
              </w:rPr>
              <w:t>Se 0.878 (0.804–0.940); Sp 0.839 (0.748–0.916)</w:t>
            </w:r>
          </w:p>
        </w:tc>
        <w:tc>
          <w:tcPr>
            <w:tcW w:type="dxa" w:w="1949"/>
            <w:vAlign w:val="center"/>
          </w:tcPr>
          <w:p>
            <w:r>
              <w:rPr>
                <w:sz w:val="16"/>
              </w:rPr>
              <w:t>BA 0.859 (0.803–0.905)</w:t>
            </w:r>
          </w:p>
        </w:tc>
        <w:tc>
          <w:tcPr>
            <w:tcW w:type="dxa" w:w="1949"/>
            <w:vAlign w:val="center"/>
          </w:tcPr>
          <w:p>
            <w:r>
              <w:rPr>
                <w:sz w:val="16"/>
              </w:rPr>
              <w:t>AUROC 0.907 (0.852–0.955)</w:t>
            </w:r>
          </w:p>
        </w:tc>
      </w:tr>
      <w:tr>
        <w:trPr>
          <w:cantSplit/>
        </w:trPr>
        <w:tc>
          <w:tcPr>
            <w:tcW w:type="dxa" w:w="1949"/>
            <w:vAlign w:val="center"/>
          </w:tcPr>
          <w:p>
            <w:r>
              <w:rPr>
                <w:sz w:val="16"/>
              </w:rPr>
              <w:t>READ–TP53</w:t>
            </w:r>
          </w:p>
        </w:tc>
        <w:tc>
          <w:tcPr>
            <w:tcW w:type="dxa" w:w="1949"/>
            <w:vAlign w:val="center"/>
          </w:tcPr>
          <w:p>
            <w:r>
              <w:rPr>
                <w:sz w:val="16"/>
              </w:rPr>
              <w:t>binary</w:t>
            </w:r>
          </w:p>
        </w:tc>
        <w:tc>
          <w:tcPr>
            <w:tcW w:type="dxa" w:w="1949"/>
            <w:vAlign w:val="center"/>
          </w:tcPr>
          <w:p>
            <w:r>
              <w:rPr>
                <w:sz w:val="16"/>
              </w:rPr>
              <w:t>Se 0.912 (0.855–0.966); Sp 0.803 (0.704–0.890)</w:t>
            </w:r>
          </w:p>
        </w:tc>
        <w:tc>
          <w:tcPr>
            <w:tcW w:type="dxa" w:w="1949"/>
            <w:vAlign w:val="center"/>
          </w:tcPr>
          <w:p>
            <w:r>
              <w:rPr>
                <w:sz w:val="16"/>
              </w:rPr>
              <w:t>BA 0.858 (0.801–0.910)</w:t>
            </w:r>
          </w:p>
        </w:tc>
        <w:tc>
          <w:tcPr>
            <w:tcW w:type="dxa" w:w="1949"/>
            <w:vAlign w:val="center"/>
          </w:tcPr>
          <w:p>
            <w:r>
              <w:rPr>
                <w:sz w:val="16"/>
              </w:rPr>
              <w:t>AUROC 0.912 (0.860–0.956)</w:t>
            </w:r>
          </w:p>
        </w:tc>
      </w:tr>
      <w:tr>
        <w:trPr>
          <w:cantSplit/>
        </w:trPr>
        <w:tc>
          <w:tcPr>
            <w:tcW w:type="dxa" w:w="1949"/>
            <w:vAlign w:val="center"/>
          </w:tcPr>
          <w:p>
            <w:r>
              <w:rPr>
                <w:sz w:val="16"/>
              </w:rPr>
              <w:t>THCA–BRAF</w:t>
            </w:r>
          </w:p>
        </w:tc>
        <w:tc>
          <w:tcPr>
            <w:tcW w:type="dxa" w:w="1949"/>
            <w:vAlign w:val="center"/>
          </w:tcPr>
          <w:p>
            <w:r>
              <w:rPr>
                <w:sz w:val="16"/>
              </w:rPr>
              <w:t>binary</w:t>
            </w:r>
          </w:p>
        </w:tc>
        <w:tc>
          <w:tcPr>
            <w:tcW w:type="dxa" w:w="1949"/>
            <w:vAlign w:val="center"/>
          </w:tcPr>
          <w:p>
            <w:r>
              <w:rPr>
                <w:sz w:val="16"/>
              </w:rPr>
              <w:t>Se 0.926 (0.897–0.952); Sp 0.747 (0.688–0.801)</w:t>
            </w:r>
          </w:p>
        </w:tc>
        <w:tc>
          <w:tcPr>
            <w:tcW w:type="dxa" w:w="1949"/>
            <w:vAlign w:val="center"/>
          </w:tcPr>
          <w:p>
            <w:r>
              <w:rPr>
                <w:sz w:val="16"/>
              </w:rPr>
              <w:t>BA 0.837 (0.805–0.866)</w:t>
            </w:r>
          </w:p>
        </w:tc>
        <w:tc>
          <w:tcPr>
            <w:tcW w:type="dxa" w:w="1949"/>
            <w:vAlign w:val="center"/>
          </w:tcPr>
          <w:p>
            <w:r>
              <w:rPr>
                <w:sz w:val="16"/>
              </w:rPr>
              <w:t>AUROC 0.894 (0.862–0.924)</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Site and multiple-slide sensitivity</w:t>
      </w:r>
    </w:p>
    <w:p>
      <w:r>
        <w:t>Site-grouped validation was feasible for 323 screen-positive models. The median grouped-minus-random performance change was -0.026. The first-slide-minus-mean-pool median change across screen-positive models was -0.001. Individual attenuations are reported because centre robustness and slide aggregation are target specific.</w:t>
      </w:r>
    </w:p>
    <w:p>
      <w:pPr>
        <w:jc w:val="center"/>
      </w:pPr>
      <w:r>
        <w:drawing>
          <wp:inline xmlns:a="http://schemas.openxmlformats.org/drawingml/2006/main" xmlns:pic="http://schemas.openxmlformats.org/drawingml/2006/picture">
            <wp:extent cx="5806440" cy="318237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3182376"/>
                    </a:xfrm>
                    <a:prstGeom prst="rect"/>
                  </pic:spPr>
                </pic:pic>
              </a:graphicData>
            </a:graphic>
          </wp:inline>
        </w:drawing>
      </w:r>
    </w:p>
    <w:p>
      <w:pPr>
        <w:pStyle w:val="Caption"/>
        <w:jc w:val="center"/>
      </w:pPr>
      <w:r>
        <w:t>Figure 6. Random-fold versus tissue-source-site-grouped internal validation. Values below the diagonal indicate attenuation when submitting tissue-source sites are separated.</w:t>
      </w:r>
    </w:p>
    <w:p>
      <w:pPr>
        <w:pStyle w:val="Heading1"/>
      </w:pPr>
      <w:r>
        <w:t>Discussion</w:t>
      </w:r>
    </w:p>
    <w:p>
      <w:r>
        <w:t>This study answers a target-by-target, cancer-specific question rather than asking whether molecular subtype and mutation status are associated. Fixed pretrained TITAN representations contain useful signal for selected immune programmes, mutations and higher-level genomic phenotypes, but most eligible pairs do not satisfy both multiplicity and effect thresholds. That heterogeneity—and transparent negative reporting—is the primary result. Under the stricter across-cancer family correction, 219 continuous and 39 mutation pairs passed; the remaining within-cancer candidates should not be interpreted as pan-cancer biomarkers. Conversely, global non-passage cannot be interpreted as evidence of no signal because the 0.001 empirical-p resolution restricts attainable q-values in large families.</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mutation results divide into two evidence groups. 24 of the 41 within-cancer screen-positive cancer–gene pairs were exact pairs in the prespecified histology literature crosswalk and were recovered here: BLCA–FGFR3: prior AUROC 0.780, current balanced accuracy 0.729 (q=0.010); BRCA–CDH1: prior AUROC 0.810, current balanced accuracy 0.731 (q=0.007); BRCA–TP53: prior AUROC 0.768 [0.735–0.781], current balanced accuracy 0.744 (q=0.007); BRCA–TP53: prior AUROC &gt;0.611, current balanced accuracy 0.744 (q=0.007); LGG–IDH1: prior AUROC 0.764, current balanced accuracy 0.786 (q=0.002); LGG–TP53: prior AUROC 0.787, current balanced accuracy 0.846 (q=0.002); THCA–BRAF: prior AUROC 0.860, current balanced accuracy 0.830 (q=0.001); UCEC–PTEN: prior reported histopathological association, current balanced accuracy 0.726 (q=0.016); UCEC–PTEN: prior AUROC 0.773, current balanced accuracy 0.726 (q=0.016); UCEC–TP53: prior AUROC 0.764, current balanced accuracy 0.764 (q=0.016); BRCA–PIK3CA: prior AUROC 0.625 [0.605–0.659], current balanced accuracy 0.631 (q=0.007); BRCA–PIK3CA: prior AUROC &gt;0.611, current balanced accuracy 0.631 (q=0.007); CESC–TP53: prior AUROC 0.673 [0.628–0.749], current balanced accuracy 0.604 (q=0.024); HNSC–NSD1: prior AUROC 0.668 [0.597–0.737], current balanced accuracy 0.630 (q=0.009); HNSC–TP53: prior AUROC 0.699 [0.687–0.732], current balanced accuracy 0.636 (q=0.009); LIHC–CTNNB1: prior AUROC 0.682 [0.635–0.688], current balanced accuracy 0.668 (q=0.002); LIHC–TP53: prior reported histopathological association, current balanced accuracy 0.633 (q=0.002); LIHC–TP53: prior AUROC 0.606 [0.572–0.656], current balanced accuracy 0.633 (q=0.002); LIHC–TP53: prior AUROC 0.597, current balanced accuracy 0.633 (q=0.002); LUAD–EGFR: prior AUROC 0.733–0.856 across six reported genes, current balanced accuracy 0.617 (q=0.007); LUAD–EGFR: prior AUROC 0.624 [0.598–0.670], current balanced accuracy 0.617 (q=0.007); LUAD–TP53: prior AUROC 0.733–0.856 across six reported genes, current balanced accuracy 0.699 (q=0.007); LUAD–TP53: prior AUROC 0.720 [0.700–0.746], current balanced accuracy 0.699 (q=0.007); STAD–PIK3CA: prior AUROC 0.636 [0.581–0.662], current balanced accuracy 0.637 (q=0.009). Prior studies generally reported AUROC, whereas the present primary metric is balanced accuracy; the side-by-side values describe consistency of discrimination but are not numerical estimates of improvement or inferiority.</w:t>
      </w:r>
    </w:p>
    <w:p>
      <w:r>
        <w:t>Several published pairs retained moderate discrimination but did not satisfy the current within-cancer mutation-family FDR criterion: BRCA–TP53: prior AUROC 0.768 [0.735–0.781], current balanced accuracy 0.744 (q=0.007); UCEC–TP53: prior AUROC 0.764, current balanced accuracy 0.764 (q=0.016); LIHC–CTNNB1: prior AUROC 0.682 [0.635–0.688], current balanced accuracy 0.668 (q=0.002); PAAD–KRAS: prior AUROC 0.670 [0.570–0.712], current balanced accuracy 0.588 (q=1.000). Other reported pairs were weaker or ineligible under the present primary-tumour and minimum-class-count rules. Differences can arise from cohort composition, primary-versus-metastatic sampling, slide preparation, mutation definition, model class and validation design. Supplementary Table S9 provides the report-level comparison and the complete machine-readable crosswalk preserves original evidence notes and URLs.</w:t>
      </w:r>
    </w:p>
    <w:p>
      <w:r>
        <w:t>The remaining 24 screen-positive mutation pairs were not present in the prespecified exact-pair crosswalk and are therefore atlas-nominated candidates rather than replications. Leading examples were THYM–GTF2I (balanced accuracy 0.883, q=0.001); READ–APC (balanced accuracy 0.862, q=0.002); READ–TP53 (balanced accuracy 0.861, q=0.002); COAD–APC (balanced accuracy 0.793, q=0.003); COAD–TP53 (balanced accuracy 0.779, q=0.003); LGG–CIC (balanced accuracy 0.779, q=0.002); LGG–ATRX (balanced accuracy 0.761, q=0.002); THCA–NRAS (balanced accuracy 0.703, q=0.001). Absence from this targeted crosswalk is not a claim that no publication has ever evaluated the pair; a systematic endpoint-level review would be required to establish bibliographic novelty. Supplementary Table S10 classifies every screen-positive mutation pair explicitly.</w:t>
      </w:r>
    </w:p>
    <w:p>
      <w:r>
        <w:t>The immune measurements, oncogenic pathways, MSI, aneuploidy and fusion endpoints extend the analysis beyond the exact cancer–gene mutation pairs used for the literature crosswalk. They are newly screened in this TITAN–PLS atlas, but the manuscript does not claim that histological prediction of those broad endpoint classes is unprecedented. Their novelty is the unified patient-level, cancer-specific screen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of TITAN plus PLS is a uniform, auditable screen over many prespecified outcomes using one fixed pretrained representation, with one-at-a-time PLS–LDA retained for the prespecified individual binary endpoints and PLS2 examined secondarily for correlated inflammatory panels.</w:t>
      </w:r>
    </w:p>
    <w:p>
      <w:r>
        <w:t>A further practical feature is data-minimising model portability. Preprocessing values, latent weights and coefficients are sufficient for continuous prediction, with compact LDA parameters added for binary classification. External researchers can therefore apply a fitted model to correctly ordered TITAN features without receiving the original patient embeddings or outcomes. This reduces the patient-level data that must be distributed, although it does not itself confer privacy, overcome TITAN licensing restrictions or establish transportability.</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 even with site separation, cannot establish transportability to another institution, scanner, stain distribution or patient population.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predictions cannot justify omitting a molecular assay. External feature extraction and prospective evaluation are required before clinical use.</w:t>
      </w:r>
    </w:p>
    <w:p>
      <w:r>
        <w:t>The repeated nested-CV estimates and patient-cluster bootstrap intervals are also conditional on selecting endpoints in this same TCGA atlas. They quantify partition and sampling variability for highlighted candidates but do not correct winner's-curse optimism from highlighting the strongest screen results. Consequently, the intervals should not be read as external-performance intervals; locked-model evaluation in an untouched cohort is required for unbiased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Mean-pooled TITAN representations enable a cancer-specific TCGA discovery atlas of selected immune, mutation, pathway, MSI, aneuploidy and fusion phenotypes. Compact fitted PLS and PLS–LDA models can be applied without distributing patient-level training data, providing a practical route to external research validation when licensing permits. The resource prioritises hypotheses and exposes screen-negative targets, but remains internally validated and non-clinical.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public TITAN TCGA feature artifact (TCGA_TITAN_features.pkl) through its supplied 768-feature CSV export. TCGA molecular data and the cited public supplementary records remain available from their original repositories. Exact source locations, access information and SHA-256 checksums are recorded in the companion repository [30]. Controlled-access whole-slide images are not redistributed. Model-object redistribution is subject to TITAN's upstream terms.</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w:t>
      </w:r>
    </w:p>
    <w:p>
      <w:r>
        <w:t>Additional file 1 (.docx): Supplementary material. Contains Supplementary Methods, Tables S1–S12, Figures S1–S2 and an inventory of the companion machine-readable result files.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prediction atlas repository. GitHub. https://github.com/tkcaccia/titan-prediction. Accessed 15 Aug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TCGA TITAN molecular and immune discovery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