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F4D78"/>
          <w:sz w:val="46"/>
        </w:rPr>
        <w:t>REVIEWER REPORT</w:t>
      </w:r>
    </w:p>
    <w:p>
      <w:r>
        <w:rPr>
          <w:rFonts w:ascii="Calibri" w:hAnsi="Calibri"/>
          <w:b w:val="0"/>
          <w:i w:val="0"/>
          <w:color w:val="5A5A5A"/>
          <w:sz w:val="28"/>
        </w:rPr>
        <w:t>A patient-level TCGA discovery atlas of molecular and immune predictability from pretrained TITAN whole-slide representations across 32 cancers</w:t>
      </w:r>
    </w:p>
    <w:p>
      <w:pPr>
        <w:spacing w:after="40"/>
      </w:pPr>
      <w:r>
        <w:rPr>
          <w:rFonts w:ascii="Calibri" w:hAnsi="Calibri"/>
          <w:b/>
          <w:i w:val="0"/>
          <w:color w:val="000000"/>
          <w:sz w:val="22"/>
        </w:rPr>
        <w:t xml:space="preserve">Target journal: </w:t>
      </w:r>
      <w:r>
        <w:rPr>
          <w:rFonts w:ascii="Calibri" w:hAnsi="Calibri"/>
          <w:b w:val="0"/>
          <w:i w:val="0"/>
          <w:color w:val="000000"/>
          <w:sz w:val="22"/>
        </w:rPr>
        <w:t>Journal of Translational Medicine — Molecular Pathology</w:t>
      </w:r>
    </w:p>
    <w:p>
      <w:pPr>
        <w:spacing w:after="40"/>
      </w:pPr>
      <w:r>
        <w:rPr>
          <w:rFonts w:ascii="Calibri" w:hAnsi="Calibri"/>
          <w:b/>
          <w:i w:val="0"/>
          <w:color w:val="000000"/>
          <w:sz w:val="22"/>
        </w:rPr>
        <w:t xml:space="preserve">Article type: </w:t>
      </w:r>
      <w:r>
        <w:rPr>
          <w:rFonts w:ascii="Calibri" w:hAnsi="Calibri"/>
          <w:b w:val="0"/>
          <w:i w:val="0"/>
          <w:color w:val="000000"/>
          <w:sz w:val="22"/>
        </w:rPr>
        <w:t>Research article</w:t>
      </w:r>
    </w:p>
    <w:p>
      <w:pPr>
        <w:spacing w:after="40"/>
      </w:pPr>
      <w:r>
        <w:rPr>
          <w:rFonts w:ascii="Calibri" w:hAnsi="Calibri"/>
          <w:b/>
          <w:i w:val="0"/>
          <w:color w:val="000000"/>
          <w:sz w:val="22"/>
        </w:rPr>
        <w:t xml:space="preserve">Review basis: </w:t>
      </w:r>
      <w:r>
        <w:rPr>
          <w:rFonts w:ascii="Calibri" w:hAnsi="Calibri"/>
          <w:b w:val="0"/>
          <w:i w:val="0"/>
          <w:color w:val="000000"/>
          <w:sz w:val="22"/>
        </w:rPr>
        <w:t>Fresh review of the revised manuscript, supplement and reproducibility materials</w:t>
      </w:r>
    </w:p>
    <w:p>
      <w:pPr>
        <w:spacing w:after="40"/>
      </w:pPr>
      <w:r>
        <w:rPr>
          <w:rFonts w:ascii="Calibri" w:hAnsi="Calibri"/>
          <w:b/>
          <w:i w:val="0"/>
          <w:color w:val="000000"/>
          <w:sz w:val="22"/>
        </w:rPr>
        <w:t xml:space="preserve">Recommendation: </w:t>
      </w:r>
      <w:r>
        <w:rPr>
          <w:rFonts w:ascii="Calibri" w:hAnsi="Calibri"/>
          <w:b w:val="0"/>
          <w:i w:val="0"/>
          <w:color w:val="000000"/>
          <w:sz w:val="22"/>
        </w:rPr>
        <w:t>Minor revision</w:t>
      </w:r>
    </w:p>
    <w:p>
      <w:pPr>
        <w:spacing w:after="40"/>
      </w:pPr>
      <w:r>
        <w:rPr>
          <w:rFonts w:ascii="Calibri" w:hAnsi="Calibri"/>
          <w:b/>
          <w:i w:val="0"/>
          <w:color w:val="000000"/>
          <w:sz w:val="22"/>
        </w:rPr>
        <w:t xml:space="preserve">Date: </w:t>
      </w:r>
      <w:r>
        <w:rPr>
          <w:rFonts w:ascii="Calibri" w:hAnsi="Calibri"/>
          <w:b w:val="0"/>
          <w:i w:val="0"/>
          <w:color w:val="000000"/>
          <w:sz w:val="22"/>
        </w:rPr>
        <w:t>16 August 2026</w:t>
      </w:r>
    </w:p>
    <w:p>
      <w:pPr>
        <w:spacing w:before="240" w:after="200"/>
        <w:ind w:left="173" w:right="173"/>
        <w:shd w:fill="EEF4F8"/>
      </w:pPr>
      <w:r>
        <w:rPr>
          <w:rFonts w:ascii="Calibri" w:hAnsi="Calibri"/>
          <w:b/>
          <w:i w:val="0"/>
          <w:color w:val="1F4D78"/>
          <w:sz w:val="22"/>
        </w:rPr>
        <w:t xml:space="preserve">Overall assessment. </w:t>
      </w:r>
      <w:r>
        <w:rPr>
          <w:rFonts w:ascii="Calibri" w:hAnsi="Calibri"/>
          <w:b w:val="0"/>
          <w:i w:val="0"/>
          <w:color w:val="000000"/>
          <w:sz w:val="22"/>
        </w:rPr>
        <w:t>This is a carefully reconstructed, patient-level TCGA discovery atlas. The revised work addresses the major scientific concerns that would otherwise prevent interpretation: multiple slides are aggregated before validation; molecular missingness is not labelled wild type; binary models use PLS–LDA; continuous and binary performance is reported with uncertainty; multiplicity is shown both within cancer and across cancers; and the absence of independent external validation is explicit. I found no further analysis essential for publication under the stated discovery-atlas framing.</w:t>
      </w:r>
    </w:p>
    <w:p>
      <w:pPr>
        <w:pStyle w:val="Heading1"/>
        <w:keepNext/>
      </w:pPr>
      <w:r>
        <w:t>Confidential comments to the editor</w:t>
      </w:r>
    </w:p>
    <w:p>
      <w:pPr>
        <w:spacing w:after="120" w:line="264" w:lineRule="auto"/>
      </w:pPr>
      <w:r>
        <w:rPr>
          <w:rFonts w:ascii="Calibri" w:hAnsi="Calibri"/>
          <w:b w:val="0"/>
          <w:i w:val="0"/>
          <w:color w:val="000000"/>
          <w:sz w:val="22"/>
        </w:rPr>
        <w:t>The manuscript fits the Molecular Pathology remit as a reproducible study of image-derived molecular and immune signals in human tumours. Its main contribution is a transparent endpoint-by-endpoint atlas using a fixed pretrained representation. The authors appropriately refrain from clinical claims. I recommend minor revision limited to submission administration and permanent archiving.</w:t>
      </w:r>
    </w:p>
    <w:p>
      <w:pPr>
        <w:pStyle w:val="Heading1"/>
        <w:keepNext/>
      </w:pPr>
      <w:r>
        <w:t>Comments to the authors</w:t>
      </w:r>
    </w:p>
    <w:p>
      <w:pPr>
        <w:pStyle w:val="Heading2"/>
        <w:keepNext/>
      </w:pPr>
      <w:r>
        <w:t>1. Scientific design and analysis</w:t>
      </w:r>
    </w:p>
    <w:p>
      <w:pPr>
        <w:spacing w:after="120" w:line="264" w:lineRule="auto"/>
      </w:pPr>
      <w:r>
        <w:rPr>
          <w:rFonts w:ascii="Calibri" w:hAnsi="Calibri"/>
          <w:b w:val="0"/>
          <w:i w:val="0"/>
          <w:color w:val="000000"/>
          <w:sz w:val="22"/>
        </w:rPr>
        <w:t>The patient is now the analysis unit and 843 patients with multiple eligible slides are pooled before outcome matching and fold assignment. The first-slide and tissue-source-site sensitivities are appropriate internal robustness checks. Mutation denominators are restricted to 8,476 MC3-profiled patients, while 919 patients without a matched profile remain missing; the nine retained protein-altering variant classes are now explicit and audited. The source-level aliquot and fusion-coverage audits make the outcome construction reproducible. The TCGA Clinical Data Resource now supplies descriptive characteristics for 9,385 matched participants, including age, recorded gender, race and broad stage overall and by cancer.</w:t>
      </w:r>
    </w:p>
    <w:p>
      <w:pPr>
        <w:spacing w:after="120" w:line="264" w:lineRule="auto"/>
      </w:pPr>
      <w:r>
        <w:rPr>
          <w:rFonts w:ascii="Calibri" w:hAnsi="Calibri"/>
          <w:b/>
          <w:i w:val="0"/>
          <w:color w:val="000000"/>
          <w:sz w:val="22"/>
        </w:rPr>
        <w:t>No additional analysis requested.</w:t>
      </w:r>
      <w:r>
        <w:rPr>
          <w:rFonts w:ascii="Calibri" w:hAnsi="Calibri"/>
          <w:b w:val="0"/>
          <w:i w:val="0"/>
          <w:color w:val="000000"/>
          <w:sz w:val="22"/>
        </w:rPr>
        <w:t xml:space="preserve"> The manuscript should retain the exact wild-type, fusion-negative and patient-aggregation definitions during copyediting, and should not imply that descriptive demographics constitute subgroup model validation.</w:t>
      </w:r>
    </w:p>
    <w:p>
      <w:pPr>
        <w:pStyle w:val="Heading2"/>
        <w:keepNext/>
      </w:pPr>
      <w:r>
        <w:t>2. Multiplicity and interpretation</w:t>
      </w:r>
    </w:p>
    <w:p>
      <w:pPr>
        <w:spacing w:after="120" w:line="264" w:lineRule="auto"/>
      </w:pPr>
      <w:r>
        <w:rPr>
          <w:rFonts w:ascii="Calibri" w:hAnsi="Calibri"/>
          <w:b w:val="0"/>
          <w:i w:val="0"/>
          <w:color w:val="000000"/>
          <w:sz w:val="22"/>
        </w:rPr>
        <w:t>The final screen reports 219 continuous and 104 binary within-cancer candidates. The stricter across-cancer family correction retains 219 continuous and 39 mutation pairs. The 999-permutation target, finite-p correction, conservative sequential stopping and explicit global sensitivity are transparent for a discovery atlas. The manuscript appropriately acknowledges that the minimum empirical p-value of 0.001 limits attainable q-values in large global families, so global non-passage must not be read as evidence of no biological signal. The revised higher-effect/moderate-effect/screen-negative language is preferable to presenting internal tiers as clinical evidence grades.</w:t>
      </w:r>
    </w:p>
    <w:p>
      <w:pPr>
        <w:spacing w:after="120" w:line="264" w:lineRule="auto"/>
      </w:pPr>
      <w:r>
        <w:rPr>
          <w:rFonts w:ascii="Calibri" w:hAnsi="Calibri"/>
          <w:b/>
          <w:i w:val="0"/>
          <w:color w:val="000000"/>
          <w:sz w:val="22"/>
        </w:rPr>
        <w:t>No additional analysis requested.</w:t>
      </w:r>
      <w:r>
        <w:rPr>
          <w:rFonts w:ascii="Calibri" w:hAnsi="Calibri"/>
          <w:b w:val="0"/>
          <w:i w:val="0"/>
          <w:color w:val="000000"/>
          <w:sz w:val="22"/>
        </w:rPr>
        <w:t xml:space="preserve"> Preserve the numerical distinction between within-cancer and across-cancer results in the abstract and conclusions.</w:t>
      </w:r>
    </w:p>
    <w:p>
      <w:pPr>
        <w:pStyle w:val="Heading2"/>
        <w:keepNext/>
      </w:pPr>
      <w:r>
        <w:t>3. Performance reporting and deployment metadata</w:t>
      </w:r>
    </w:p>
    <w:p>
      <w:pPr>
        <w:spacing w:after="120" w:line="264" w:lineRule="auto"/>
      </w:pPr>
      <w:r>
        <w:rPr>
          <w:rFonts w:ascii="Calibri" w:hAnsi="Calibri"/>
          <w:b w:val="0"/>
          <w:i w:val="0"/>
          <w:color w:val="000000"/>
          <w:sz w:val="22"/>
        </w:rPr>
        <w:t>The 24 highlighted models report sensitivity, specificity, balanced accuracy and AUROC for binary outcomes and Q², RMSE and Spearman correlation for continuous outcomes, with patient-cluster bootstrap intervals. The Discussion correctly clarifies that these intervals are conditional on endpoint selection in the same TCGA atlas and do not remove winner's-curse optimism or estimate external performance. The observed-versus-predicted figure is useful. Model artifacts record ordered feature schema, checksums, training ranges, pooling, endpoint transformations, output units, class coding, priors, decision behaviour, calibration status and external-validation status. The registry also reports the exact fastPLS commit, computation backend and exclusive seeded rSVD configuration. Removal of training latent-score and fitted-value rows strengthens the portability claim.</w:t>
      </w:r>
    </w:p>
    <w:p>
      <w:pPr>
        <w:spacing w:after="120" w:line="264" w:lineRule="auto"/>
      </w:pPr>
      <w:r>
        <w:rPr>
          <w:rFonts w:ascii="Calibri" w:hAnsi="Calibri"/>
          <w:b/>
          <w:i w:val="0"/>
          <w:color w:val="000000"/>
          <w:sz w:val="22"/>
        </w:rPr>
        <w:t>No additional analysis requested.</w:t>
      </w:r>
      <w:r>
        <w:rPr>
          <w:rFonts w:ascii="Calibri" w:hAnsi="Calibri"/>
          <w:b w:val="0"/>
          <w:i w:val="0"/>
          <w:color w:val="000000"/>
          <w:sz w:val="22"/>
        </w:rPr>
        <w:t xml:space="preserve"> Continue to describe LDA scores as uncalibrated and all fitted objects as research-only TCGA models.</w:t>
      </w:r>
    </w:p>
    <w:p>
      <w:pPr>
        <w:pStyle w:val="Heading2"/>
        <w:keepNext/>
      </w:pPr>
      <w:r>
        <w:t>4. Relation to prior work and translational positioning</w:t>
      </w:r>
    </w:p>
    <w:p>
      <w:pPr>
        <w:spacing w:after="120" w:line="264" w:lineRule="auto"/>
      </w:pPr>
      <w:r>
        <w:rPr>
          <w:rFonts w:ascii="Calibri" w:hAnsi="Calibri"/>
          <w:b w:val="0"/>
          <w:i w:val="0"/>
          <w:color w:val="000000"/>
          <w:sz w:val="22"/>
        </w:rPr>
        <w:t>The expanded review now covers mutation, MSI, gene expression, continuous biomarkers, fusions, homologous-recombination deficiency and tumour-microenvironment prediction, and it distinguishes internal current metrics from prior external AUROCs and correlations. The manuscript correctly documents that TCGA was excluded from TITAN's Mass-340K pretraining but used in TITAN's downstream evaluation. It is therefore accurate to call this a secondary TCGA discovery atlas rather than independent validation.</w:t>
      </w:r>
    </w:p>
    <w:p>
      <w:pPr>
        <w:spacing w:after="120" w:line="264" w:lineRule="auto"/>
      </w:pPr>
      <w:r>
        <w:rPr>
          <w:rFonts w:ascii="Calibri" w:hAnsi="Calibri"/>
          <w:b/>
          <w:i w:val="0"/>
          <w:color w:val="000000"/>
          <w:sz w:val="22"/>
        </w:rPr>
        <w:t>No additional analysis requested.</w:t>
      </w:r>
      <w:r>
        <w:rPr>
          <w:rFonts w:ascii="Calibri" w:hAnsi="Calibri"/>
          <w:b w:val="0"/>
          <w:i w:val="0"/>
          <w:color w:val="000000"/>
          <w:sz w:val="22"/>
        </w:rPr>
        <w:t xml:space="preserve"> External validation remains the next research stage, not a condition that can be satisfied by further TCGA resampling.</w:t>
      </w:r>
    </w:p>
    <w:p>
      <w:pPr>
        <w:pStyle w:val="Heading2"/>
        <w:keepNext/>
      </w:pPr>
      <w:r>
        <w:t>5. Reproducibility and model redistribution</w:t>
      </w:r>
    </w:p>
    <w:p>
      <w:pPr>
        <w:spacing w:after="120" w:line="264" w:lineRule="auto"/>
      </w:pPr>
      <w:r>
        <w:rPr>
          <w:rFonts w:ascii="Calibri" w:hAnsi="Calibri"/>
          <w:b w:val="0"/>
          <w:i w:val="0"/>
          <w:color w:val="000000"/>
          <w:sz w:val="22"/>
        </w:rPr>
        <w:t>The public repository claim is now limited to files that can actually be released. The TITAN model terms restrict redistribution of derivative models, so retaining local fitted objects while publishing version-controlled fitting code, inference code, registry metadata and hashes is the correct conservative approach.</w:t>
      </w:r>
    </w:p>
    <w:p>
      <w:pPr>
        <w:spacing w:after="120" w:line="264" w:lineRule="auto"/>
      </w:pPr>
      <w:r>
        <w:rPr>
          <w:rFonts w:ascii="Calibri" w:hAnsi="Calibri"/>
          <w:b/>
          <w:i w:val="0"/>
          <w:color w:val="000000"/>
          <w:sz w:val="22"/>
        </w:rPr>
        <w:t>Required before submission:</w:t>
      </w:r>
      <w:r>
        <w:rPr>
          <w:rFonts w:ascii="Calibri" w:hAnsi="Calibri"/>
          <w:b w:val="0"/>
          <w:i w:val="0"/>
          <w:color w:val="000000"/>
          <w:sz w:val="22"/>
        </w:rPr>
        <w:t xml:space="preserve"> create a versioned repository release with a persistent DOI. Do not upload fitted TITAN-derived RDS objects unless written permission or compatible terms are obtained. This is an administrative release condition and does not require a new scientific analysis.</w:t>
      </w:r>
    </w:p>
    <w:p>
      <w:pPr>
        <w:pStyle w:val="Heading2"/>
        <w:keepNext/>
      </w:pPr>
      <w:r>
        <w:t>6. Administrative completion</w:t>
      </w:r>
    </w:p>
    <w:p>
      <w:pPr>
        <w:spacing w:after="120" w:line="264" w:lineRule="auto"/>
      </w:pPr>
      <w:r>
        <w:rPr>
          <w:rFonts w:ascii="Calibri" w:hAnsi="Calibri"/>
          <w:b w:val="0"/>
          <w:i w:val="0"/>
          <w:color w:val="000000"/>
          <w:sz w:val="22"/>
        </w:rPr>
        <w:t>Required before submission: replace the remaining placeholders for funding, competing interests and author contributions; confirm the institutional ethics/waiver wording. Aamilah Ismail and Martin Ocharo are now the shared co-first authors, with Martin Ocharo second in the author order and assigned to the ICGEB Bioinformatics Unit. Ekene Emmanuel Nweke's University of the Witwatersrand affiliation is included. Email addresses for Martin Ocharo and Ekene Emmanuel Nweke were not supplied. The current author list contains Aamilah Ismail, Martin Ocharo, Moussa Kassim, Dalia Ahmed, Dupe Ojo, Ekene Emmanuel Nweke and Stefano Cacciatore.</w:t>
      </w:r>
    </w:p>
    <w:p>
      <w:pPr>
        <w:pStyle w:val="Heading1"/>
        <w:keepNext/>
      </w:pPr>
      <w:r>
        <w:t>Minor presentation points</w:t>
      </w:r>
    </w:p>
    <w:p>
      <w:pPr>
        <w:pStyle w:val="Heading3"/>
        <w:keepNext/>
      </w:pPr>
      <w:r>
        <w:t>Reporting checklist</w:t>
      </w:r>
    </w:p>
    <w:p>
      <w:pPr>
        <w:spacing w:after="120" w:line="264" w:lineRule="auto"/>
      </w:pPr>
      <w:r>
        <w:rPr>
          <w:rFonts w:ascii="Calibri" w:hAnsi="Calibri"/>
          <w:b w:val="0"/>
          <w:i w:val="0"/>
          <w:color w:val="000000"/>
          <w:sz w:val="22"/>
        </w:rPr>
        <w:t>The TRIPOD+AI item-to-location map in Supplementary Table S12 should accompany the submission.</w:t>
      </w:r>
    </w:p>
    <w:p>
      <w:pPr>
        <w:pStyle w:val="Heading3"/>
        <w:keepNext/>
      </w:pPr>
      <w:r>
        <w:t>Fusion caveat</w:t>
      </w:r>
    </w:p>
    <w:p>
      <w:pPr>
        <w:spacing w:after="120" w:line="264" w:lineRule="auto"/>
      </w:pPr>
      <w:r>
        <w:rPr>
          <w:rFonts w:ascii="Calibri" w:hAnsi="Calibri"/>
          <w:b w:val="0"/>
          <w:i w:val="0"/>
          <w:color w:val="000000"/>
          <w:sz w:val="22"/>
        </w:rPr>
        <w:t>Keep the technical-coverage caveat for fusion-negative status and fusion burden.</w:t>
      </w:r>
    </w:p>
    <w:p>
      <w:pPr>
        <w:pStyle w:val="Heading3"/>
        <w:keepNext/>
      </w:pPr>
      <w:r>
        <w:t>Figures</w:t>
      </w:r>
    </w:p>
    <w:p>
      <w:pPr>
        <w:spacing w:after="120" w:line="264" w:lineRule="auto"/>
      </w:pPr>
      <w:r>
        <w:rPr>
          <w:rFonts w:ascii="Calibri" w:hAnsi="Calibri"/>
          <w:b w:val="0"/>
          <w:i w:val="0"/>
          <w:color w:val="000000"/>
          <w:sz w:val="22"/>
        </w:rPr>
        <w:t>Figure 1 is no longer clipped, and Figure 4A now shows the strongest primary continuous prediction with explicit held-out metrics. These corrected production figures should be retained.</w:t>
      </w:r>
    </w:p>
    <w:p>
      <w:pPr>
        <w:pStyle w:val="Heading1"/>
        <w:keepNext/>
      </w:pPr>
      <w:r>
        <w:t>Strengths</w:t>
      </w:r>
    </w:p>
    <w:p>
      <w:pPr>
        <w:spacing w:after="120" w:line="264" w:lineRule="auto"/>
      </w:pPr>
      <w:r>
        <w:rPr>
          <w:rFonts w:ascii="Calibri" w:hAnsi="Calibri"/>
          <w:b w:val="0"/>
          <w:i w:val="0"/>
          <w:color w:val="000000"/>
          <w:sz w:val="22"/>
        </w:rPr>
        <w:t>• Patient-first aggregation and validation prevent multiple-slide leakage.</w:t>
      </w:r>
    </w:p>
    <w:p>
      <w:pPr>
        <w:spacing w:after="120" w:line="264" w:lineRule="auto"/>
      </w:pPr>
      <w:r>
        <w:rPr>
          <w:rFonts w:ascii="Calibri" w:hAnsi="Calibri"/>
          <w:b w:val="0"/>
          <w:i w:val="0"/>
          <w:color w:val="000000"/>
          <w:sz w:val="22"/>
        </w:rPr>
        <w:t>• Wild type, molecular missingness, fusion coverage and aliquot aggregation are auditable.</w:t>
      </w:r>
    </w:p>
    <w:p>
      <w:pPr>
        <w:spacing w:after="120" w:line="264" w:lineRule="auto"/>
      </w:pPr>
      <w:r>
        <w:rPr>
          <w:rFonts w:ascii="Calibri" w:hAnsi="Calibri"/>
          <w:b w:val="0"/>
          <w:i w:val="0"/>
          <w:color w:val="000000"/>
          <w:sz w:val="22"/>
        </w:rPr>
        <w:t>• The atlas includes immune and inflammatory features as well as mutations, pathways, MSI, aneuploidy and fusions.</w:t>
      </w:r>
    </w:p>
    <w:p>
      <w:pPr>
        <w:spacing w:after="120" w:line="264" w:lineRule="auto"/>
      </w:pPr>
      <w:r>
        <w:rPr>
          <w:rFonts w:ascii="Calibri" w:hAnsi="Calibri"/>
          <w:b w:val="0"/>
          <w:i w:val="0"/>
          <w:color w:val="000000"/>
          <w:sz w:val="22"/>
        </w:rPr>
        <w:t>• Negative and ineligible endpoints are preserved rather than selectively omitted.</w:t>
      </w:r>
    </w:p>
    <w:p>
      <w:pPr>
        <w:spacing w:after="120" w:line="264" w:lineRule="auto"/>
      </w:pPr>
      <w:r>
        <w:rPr>
          <w:rFonts w:ascii="Calibri" w:hAnsi="Calibri"/>
          <w:b w:val="0"/>
          <w:i w:val="0"/>
          <w:color w:val="000000"/>
          <w:sz w:val="22"/>
        </w:rPr>
        <w:t>• PLS1–PLS2 comparison is appropriately secondary, with LDA preferred for binary endpoints.</w:t>
      </w:r>
    </w:p>
    <w:p>
      <w:pPr>
        <w:spacing w:after="120" w:line="264" w:lineRule="auto"/>
      </w:pPr>
      <w:r>
        <w:rPr>
          <w:rFonts w:ascii="Calibri" w:hAnsi="Calibri"/>
          <w:b w:val="0"/>
          <w:i w:val="0"/>
          <w:color w:val="000000"/>
          <w:sz w:val="22"/>
        </w:rPr>
        <w:t>• The literature discussion distinguishes replicated exact pairs from atlas-nominated candidates without overstating novelty.</w:t>
      </w:r>
    </w:p>
    <w:p>
      <w:pPr>
        <w:pStyle w:val="Heading1"/>
        <w:keepNext/>
      </w:pPr>
      <w:r>
        <w:t>Recommended editorial decision</w:t>
      </w:r>
    </w:p>
    <w:p>
      <w:pPr>
        <w:shd w:fill="E8EEF5"/>
      </w:pPr>
      <w:r>
        <w:rPr>
          <w:rFonts w:ascii="Calibri" w:hAnsi="Calibri"/>
          <w:b/>
          <w:i w:val="0"/>
          <w:color w:val="1F4D78"/>
          <w:sz w:val="24"/>
        </w:rPr>
        <w:t>MINOR REVISION</w:t>
      </w:r>
    </w:p>
    <w:p>
      <w:pPr>
        <w:spacing w:after="120" w:line="264" w:lineRule="auto"/>
      </w:pPr>
      <w:r>
        <w:rPr>
          <w:rFonts w:ascii="Calibri" w:hAnsi="Calibri"/>
          <w:b w:val="0"/>
          <w:i w:val="0"/>
          <w:color w:val="000000"/>
          <w:sz w:val="22"/>
        </w:rPr>
        <w:t>The scientific analysis is suitable for consideration as a TCGA discovery atlas. The remaining work is administrative: complete declarations and author metadata, provide the reporting checklist, and archive a versioned public release. No further TCGA analysis is required by this review.</w:t>
      </w:r>
    </w:p>
    <w:p>
      <w:pPr>
        <w:pStyle w:val="Heading1"/>
        <w:keepNext/>
      </w:pPr>
      <w:r>
        <w:t>Review standards consulted</w:t>
      </w:r>
    </w:p>
    <w:p>
      <w:pPr>
        <w:spacing w:after="120" w:line="264" w:lineRule="auto"/>
      </w:pPr>
      <w:r>
        <w:rPr>
          <w:rFonts w:ascii="Calibri" w:hAnsi="Calibri"/>
          <w:b w:val="0"/>
          <w:i w:val="0"/>
          <w:color w:val="000000"/>
          <w:sz w:val="22"/>
        </w:rPr>
        <w:t>Warren S. Molecular Pathology. J Transl Med. 2024;22:91. https://doi.org/10.1186/s12967-024-04868-7</w:t>
      </w:r>
    </w:p>
    <w:p>
      <w:pPr>
        <w:spacing w:after="120" w:line="264" w:lineRule="auto"/>
      </w:pPr>
      <w:r>
        <w:rPr>
          <w:rFonts w:ascii="Calibri" w:hAnsi="Calibri"/>
          <w:b w:val="0"/>
          <w:i w:val="0"/>
          <w:color w:val="000000"/>
          <w:sz w:val="22"/>
        </w:rPr>
        <w:t>Collins GS, et al. TRIPOD+AI statement. BMJ. 2024;385:e078378. https://doi.org/10.1136/bmj-2023-078378</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5A5A"/>
        <w:sz w:val="18"/>
      </w:rPr>
      <w:t xml:space="preserve">Page </w:t>
    </w:r>
    <w:r>
      <w:rPr>
        <w:rFonts w:ascii="Calibri" w:hAnsi="Calibri"/>
        <w:b w:val="0"/>
        <w:i w:val="0"/>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Independent internal review | Journal of Translational Medicine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reviewer report — TITAN TCGA discovery atlas</dc:title>
  <dc:subject>Journal of Translational Medicine-style internal peer review</dc:subject>
  <dc:creator>Internal scientific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