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patient-level TCGA discovery atlas of molecular and immune predictability from pretrained TITAN whole-slide representations across 32 cancers</w:t>
      </w:r>
    </w:p>
    <w:p>
      <w:pPr>
        <w:pStyle w:val="Heading1"/>
      </w:pPr>
      <w:r>
        <w:t>Supplementary Methods</w:t>
      </w:r>
    </w:p>
    <w:p>
      <w:r>
        <w:t>The executable analysis plan, source manifest, eligibility catalogues, checkpoint-capable scripts and released out-of-fold prediction tables are available in the companion repository.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Type</w:t>
            </w:r>
          </w:p>
        </w:tc>
        <w:tc>
          <w:tcPr>
            <w:tcW w:type="dxa" w:w="1624"/>
          </w:tcPr>
          <w:p>
            <w:r>
              <w:rPr>
                <w:b/>
                <w:sz w:val="17"/>
              </w:rPr>
              <w:t>Cancer–endpoint</w:t>
            </w:r>
          </w:p>
        </w:tc>
        <w:tc>
          <w:tcPr>
            <w:tcW w:type="dxa" w:w="1624"/>
          </w:tcPr>
          <w:p>
            <w:r>
              <w:rPr>
                <w:b/>
                <w:sz w:val="17"/>
              </w:rPr>
              <w:t>n</w:t>
            </w:r>
          </w:p>
        </w:tc>
        <w:tc>
          <w:tcPr>
            <w:tcW w:type="dxa" w:w="1624"/>
          </w:tcPr>
          <w:p>
            <w:r>
              <w:rPr>
                <w:b/>
                <w:sz w:val="17"/>
              </w:rPr>
              <w:t>Primary metric (95% CI)</w:t>
            </w:r>
          </w:p>
        </w:tc>
        <w:tc>
          <w:tcPr>
            <w:tcW w:type="dxa" w:w="1624"/>
          </w:tcPr>
          <w:p>
            <w:r>
              <w:rPr>
                <w:b/>
                <w:sz w:val="17"/>
              </w:rPr>
              <w:t>Sensitivity/specificity (95% CI)</w:t>
            </w:r>
          </w:p>
        </w:tc>
        <w:tc>
          <w:tcPr>
            <w:tcW w:type="dxa" w:w="1624"/>
          </w:tcPr>
          <w:p>
            <w:r>
              <w:rPr>
                <w:b/>
                <w:sz w:val="17"/>
              </w:rPr>
              <w:t>Other metrics (95% CI)</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485</w:t>
            </w:r>
          </w:p>
        </w:tc>
        <w:tc>
          <w:tcPr>
            <w:tcW w:type="dxa" w:w="1624"/>
            <w:vAlign w:val="center"/>
          </w:tcPr>
          <w:p>
            <w:r>
              <w:rPr>
                <w:sz w:val="16"/>
              </w:rPr>
              <w:t>BA 0.862 (0.833–0.888)</w:t>
            </w:r>
          </w:p>
        </w:tc>
        <w:tc>
          <w:tcPr>
            <w:tcW w:type="dxa" w:w="1624"/>
            <w:vAlign w:val="center"/>
          </w:tcPr>
          <w:p>
            <w:r>
              <w:rPr>
                <w:sz w:val="16"/>
              </w:rPr>
              <w:t>Se 0.839 (0.795–0.877); Sp 0.885 (0.848–0.920)</w:t>
            </w:r>
          </w:p>
        </w:tc>
        <w:tc>
          <w:tcPr>
            <w:tcW w:type="dxa" w:w="1624"/>
            <w:vAlign w:val="center"/>
          </w:tcPr>
          <w:p>
            <w:r>
              <w:rPr>
                <w:sz w:val="16"/>
              </w:rPr>
              <w:t>AUROC 0.908 (0.880–0.932)</w:t>
            </w:r>
          </w:p>
        </w:tc>
      </w:tr>
      <w:tr>
        <w:trPr>
          <w:cantSplit/>
        </w:trPr>
        <w:tc>
          <w:tcPr>
            <w:tcW w:type="dxa" w:w="1624"/>
            <w:vAlign w:val="center"/>
          </w:tcPr>
          <w:p>
            <w:r>
              <w:rPr>
                <w:sz w:val="16"/>
              </w:rPr>
              <w:t>binary</w:t>
            </w:r>
          </w:p>
        </w:tc>
        <w:tc>
          <w:tcPr>
            <w:tcW w:type="dxa" w:w="1624"/>
            <w:vAlign w:val="center"/>
          </w:tcPr>
          <w:p>
            <w:r>
              <w:rPr>
                <w:sz w:val="16"/>
              </w:rPr>
              <w:t>THYM–GTF2I</w:t>
            </w:r>
          </w:p>
        </w:tc>
        <w:tc>
          <w:tcPr>
            <w:tcW w:type="dxa" w:w="1624"/>
            <w:vAlign w:val="center"/>
          </w:tcPr>
          <w:p>
            <w:r>
              <w:rPr>
                <w:sz w:val="16"/>
              </w:rPr>
              <w:t>120</w:t>
            </w:r>
          </w:p>
        </w:tc>
        <w:tc>
          <w:tcPr>
            <w:tcW w:type="dxa" w:w="1624"/>
            <w:vAlign w:val="center"/>
          </w:tcPr>
          <w:p>
            <w:r>
              <w:rPr>
                <w:sz w:val="16"/>
              </w:rPr>
              <w:t>BA 0.859 (0.803–0.905)</w:t>
            </w:r>
          </w:p>
        </w:tc>
        <w:tc>
          <w:tcPr>
            <w:tcW w:type="dxa" w:w="1624"/>
            <w:vAlign w:val="center"/>
          </w:tcPr>
          <w:p>
            <w:r>
              <w:rPr>
                <w:sz w:val="16"/>
              </w:rPr>
              <w:t>Se 0.878 (0.804–0.940); Sp 0.839 (0.748–0.916)</w:t>
            </w:r>
          </w:p>
        </w:tc>
        <w:tc>
          <w:tcPr>
            <w:tcW w:type="dxa" w:w="1624"/>
            <w:vAlign w:val="center"/>
          </w:tcPr>
          <w:p>
            <w:r>
              <w:rPr>
                <w:sz w:val="16"/>
              </w:rPr>
              <w:t>AUROC 0.907 (0.852–0.955)</w:t>
            </w:r>
          </w:p>
        </w:tc>
      </w:tr>
      <w:tr>
        <w:trPr>
          <w:cantSplit/>
        </w:trPr>
        <w:tc>
          <w:tcPr>
            <w:tcW w:type="dxa" w:w="1624"/>
            <w:vAlign w:val="center"/>
          </w:tcPr>
          <w:p>
            <w:r>
              <w:rPr>
                <w:sz w:val="16"/>
              </w:rPr>
              <w:t>binary</w:t>
            </w:r>
          </w:p>
        </w:tc>
        <w:tc>
          <w:tcPr>
            <w:tcW w:type="dxa" w:w="1624"/>
            <w:vAlign w:val="center"/>
          </w:tcPr>
          <w:p>
            <w:r>
              <w:rPr>
                <w:sz w:val="16"/>
              </w:rPr>
              <w:t>READ–TP53</w:t>
            </w:r>
          </w:p>
        </w:tc>
        <w:tc>
          <w:tcPr>
            <w:tcW w:type="dxa" w:w="1624"/>
            <w:vAlign w:val="center"/>
          </w:tcPr>
          <w:p>
            <w:r>
              <w:rPr>
                <w:sz w:val="16"/>
              </w:rPr>
              <w:t>135</w:t>
            </w:r>
          </w:p>
        </w:tc>
        <w:tc>
          <w:tcPr>
            <w:tcW w:type="dxa" w:w="1624"/>
            <w:vAlign w:val="center"/>
          </w:tcPr>
          <w:p>
            <w:r>
              <w:rPr>
                <w:sz w:val="16"/>
              </w:rPr>
              <w:t>BA 0.858 (0.801–0.910)</w:t>
            </w:r>
          </w:p>
        </w:tc>
        <w:tc>
          <w:tcPr>
            <w:tcW w:type="dxa" w:w="1624"/>
            <w:vAlign w:val="center"/>
          </w:tcPr>
          <w:p>
            <w:r>
              <w:rPr>
                <w:sz w:val="16"/>
              </w:rPr>
              <w:t>Se 0.912 (0.855–0.966); Sp 0.803 (0.704–0.890)</w:t>
            </w:r>
          </w:p>
        </w:tc>
        <w:tc>
          <w:tcPr>
            <w:tcW w:type="dxa" w:w="1624"/>
            <w:vAlign w:val="center"/>
          </w:tcPr>
          <w:p>
            <w:r>
              <w:rPr>
                <w:sz w:val="16"/>
              </w:rPr>
              <w:t>AUROC 0.912 (0.860–0.956)</w:t>
            </w:r>
          </w:p>
        </w:tc>
      </w:tr>
      <w:tr>
        <w:trPr>
          <w:cantSplit/>
        </w:trPr>
        <w:tc>
          <w:tcPr>
            <w:tcW w:type="dxa" w:w="1624"/>
            <w:vAlign w:val="center"/>
          </w:tcPr>
          <w:p>
            <w:r>
              <w:rPr>
                <w:sz w:val="16"/>
              </w:rPr>
              <w:t>binary</w:t>
            </w:r>
          </w:p>
        </w:tc>
        <w:tc>
          <w:tcPr>
            <w:tcW w:type="dxa" w:w="1624"/>
            <w:vAlign w:val="center"/>
          </w:tcPr>
          <w:p>
            <w:r>
              <w:rPr>
                <w:sz w:val="16"/>
              </w:rPr>
              <w:t>THCA–BRAF</w:t>
            </w:r>
          </w:p>
        </w:tc>
        <w:tc>
          <w:tcPr>
            <w:tcW w:type="dxa" w:w="1624"/>
            <w:vAlign w:val="center"/>
          </w:tcPr>
          <w:p>
            <w:r>
              <w:rPr>
                <w:sz w:val="16"/>
              </w:rPr>
              <w:t>490</w:t>
            </w:r>
          </w:p>
        </w:tc>
        <w:tc>
          <w:tcPr>
            <w:tcW w:type="dxa" w:w="1624"/>
            <w:vAlign w:val="center"/>
          </w:tcPr>
          <w:p>
            <w:r>
              <w:rPr>
                <w:sz w:val="16"/>
              </w:rPr>
              <w:t>BA 0.837 (0.805–0.866)</w:t>
            </w:r>
          </w:p>
        </w:tc>
        <w:tc>
          <w:tcPr>
            <w:tcW w:type="dxa" w:w="1624"/>
            <w:vAlign w:val="center"/>
          </w:tcPr>
          <w:p>
            <w:r>
              <w:rPr>
                <w:sz w:val="16"/>
              </w:rPr>
              <w:t>Se 0.926 (0.897–0.952); Sp 0.747 (0.688–0.801)</w:t>
            </w:r>
          </w:p>
        </w:tc>
        <w:tc>
          <w:tcPr>
            <w:tcW w:type="dxa" w:w="1624"/>
            <w:vAlign w:val="center"/>
          </w:tcPr>
          <w:p>
            <w:r>
              <w:rPr>
                <w:sz w:val="16"/>
              </w:rPr>
              <w:t>AUROC 0.894 (0.862–0.924)</w:t>
            </w:r>
          </w:p>
        </w:tc>
      </w:tr>
      <w:tr>
        <w:trPr>
          <w:cantSplit/>
        </w:trPr>
        <w:tc>
          <w:tcPr>
            <w:tcW w:type="dxa" w:w="1624"/>
            <w:vAlign w:val="center"/>
          </w:tcPr>
          <w:p>
            <w:r>
              <w:rPr>
                <w:sz w:val="16"/>
              </w:rPr>
              <w:t>binary</w:t>
            </w:r>
          </w:p>
        </w:tc>
        <w:tc>
          <w:tcPr>
            <w:tcW w:type="dxa" w:w="1624"/>
            <w:vAlign w:val="center"/>
          </w:tcPr>
          <w:p>
            <w:r>
              <w:rPr>
                <w:sz w:val="16"/>
              </w:rPr>
              <w:t>READ–APC</w:t>
            </w:r>
          </w:p>
        </w:tc>
        <w:tc>
          <w:tcPr>
            <w:tcW w:type="dxa" w:w="1624"/>
            <w:vAlign w:val="center"/>
          </w:tcPr>
          <w:p>
            <w:r>
              <w:rPr>
                <w:sz w:val="16"/>
              </w:rPr>
              <w:t>135</w:t>
            </w:r>
          </w:p>
        </w:tc>
        <w:tc>
          <w:tcPr>
            <w:tcW w:type="dxa" w:w="1624"/>
            <w:vAlign w:val="center"/>
          </w:tcPr>
          <w:p>
            <w:r>
              <w:rPr>
                <w:sz w:val="16"/>
              </w:rPr>
              <w:t>BA 0.827 (0.771–0.882)</w:t>
            </w:r>
          </w:p>
        </w:tc>
        <w:tc>
          <w:tcPr>
            <w:tcW w:type="dxa" w:w="1624"/>
            <w:vAlign w:val="center"/>
          </w:tcPr>
          <w:p>
            <w:r>
              <w:rPr>
                <w:sz w:val="16"/>
              </w:rPr>
              <w:t>Se 0.874 (0.810–0.931); Sp 0.780 (0.688–0.873)</w:t>
            </w:r>
          </w:p>
        </w:tc>
        <w:tc>
          <w:tcPr>
            <w:tcW w:type="dxa" w:w="1624"/>
            <w:vAlign w:val="center"/>
          </w:tcPr>
          <w:p>
            <w:r>
              <w:rPr>
                <w:sz w:val="16"/>
              </w:rPr>
              <w:t>AUROC 0.874 (0.818–0.926)</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481</w:t>
            </w:r>
          </w:p>
        </w:tc>
        <w:tc>
          <w:tcPr>
            <w:tcW w:type="dxa" w:w="1624"/>
            <w:vAlign w:val="center"/>
          </w:tcPr>
          <w:p>
            <w:r>
              <w:rPr>
                <w:sz w:val="16"/>
              </w:rPr>
              <w:t>BA 0.825 (0.796–0.856)</w:t>
            </w:r>
          </w:p>
        </w:tc>
        <w:tc>
          <w:tcPr>
            <w:tcW w:type="dxa" w:w="1624"/>
            <w:vAlign w:val="center"/>
          </w:tcPr>
          <w:p>
            <w:r>
              <w:rPr>
                <w:sz w:val="16"/>
              </w:rPr>
              <w:t>Se 0.803 (0.758–0.848); Sp 0.847 (0.807–0.889)</w:t>
            </w:r>
          </w:p>
        </w:tc>
        <w:tc>
          <w:tcPr>
            <w:tcW w:type="dxa" w:w="1624"/>
            <w:vAlign w:val="center"/>
          </w:tcPr>
          <w:p>
            <w:r>
              <w:rPr>
                <w:sz w:val="16"/>
              </w:rPr>
              <w:t>AUROC 0.883 (0.852–0.914)</w:t>
            </w:r>
          </w:p>
        </w:tc>
      </w:tr>
      <w:tr>
        <w:trPr>
          <w:cantSplit/>
        </w:trPr>
        <w:tc>
          <w:tcPr>
            <w:tcW w:type="dxa" w:w="1624"/>
            <w:vAlign w:val="center"/>
          </w:tcPr>
          <w:p>
            <w:r>
              <w:rPr>
                <w:sz w:val="16"/>
              </w:rPr>
              <w:t>binary</w:t>
            </w:r>
          </w:p>
        </w:tc>
        <w:tc>
          <w:tcPr>
            <w:tcW w:type="dxa" w:w="1624"/>
            <w:vAlign w:val="center"/>
          </w:tcPr>
          <w:p>
            <w:r>
              <w:rPr>
                <w:sz w:val="16"/>
              </w:rPr>
              <w:t>LGG–HIPPO</w:t>
            </w:r>
          </w:p>
        </w:tc>
        <w:tc>
          <w:tcPr>
            <w:tcW w:type="dxa" w:w="1624"/>
            <w:vAlign w:val="center"/>
          </w:tcPr>
          <w:p>
            <w:r>
              <w:rPr>
                <w:sz w:val="16"/>
              </w:rPr>
              <w:t>481</w:t>
            </w:r>
          </w:p>
        </w:tc>
        <w:tc>
          <w:tcPr>
            <w:tcW w:type="dxa" w:w="1624"/>
            <w:vAlign w:val="center"/>
          </w:tcPr>
          <w:p>
            <w:r>
              <w:rPr>
                <w:sz w:val="16"/>
              </w:rPr>
              <w:t>BA 0.818 (0.777–0.860)</w:t>
            </w:r>
          </w:p>
        </w:tc>
        <w:tc>
          <w:tcPr>
            <w:tcW w:type="dxa" w:w="1624"/>
            <w:vAlign w:val="center"/>
          </w:tcPr>
          <w:p>
            <w:r>
              <w:rPr>
                <w:sz w:val="16"/>
              </w:rPr>
              <w:t>Se 0.941 (0.920–0.960); Sp 0.694 (0.612–0.771)</w:t>
            </w:r>
          </w:p>
        </w:tc>
        <w:tc>
          <w:tcPr>
            <w:tcW w:type="dxa" w:w="1624"/>
            <w:vAlign w:val="center"/>
          </w:tcPr>
          <w:p>
            <w:r>
              <w:rPr>
                <w:sz w:val="16"/>
              </w:rPr>
              <w:t>AUROC 0.887 (0.844–0.924)</w:t>
            </w:r>
          </w:p>
        </w:tc>
      </w:tr>
      <w:tr>
        <w:trPr>
          <w:cantSplit/>
        </w:trPr>
        <w:tc>
          <w:tcPr>
            <w:tcW w:type="dxa" w:w="1624"/>
            <w:vAlign w:val="center"/>
          </w:tcPr>
          <w:p>
            <w:r>
              <w:rPr>
                <w:sz w:val="16"/>
              </w:rPr>
              <w:t>binary</w:t>
            </w:r>
          </w:p>
        </w:tc>
        <w:tc>
          <w:tcPr>
            <w:tcW w:type="dxa" w:w="1624"/>
            <w:vAlign w:val="center"/>
          </w:tcPr>
          <w:p>
            <w:r>
              <w:rPr>
                <w:sz w:val="16"/>
              </w:rPr>
              <w:t>COAD–APC</w:t>
            </w:r>
          </w:p>
        </w:tc>
        <w:tc>
          <w:tcPr>
            <w:tcW w:type="dxa" w:w="1624"/>
            <w:vAlign w:val="center"/>
          </w:tcPr>
          <w:p>
            <w:r>
              <w:rPr>
                <w:sz w:val="16"/>
              </w:rPr>
              <w:t>382</w:t>
            </w:r>
          </w:p>
        </w:tc>
        <w:tc>
          <w:tcPr>
            <w:tcW w:type="dxa" w:w="1624"/>
            <w:vAlign w:val="center"/>
          </w:tcPr>
          <w:p>
            <w:r>
              <w:rPr>
                <w:sz w:val="16"/>
              </w:rPr>
              <w:t>BA 0.794 (0.756–0.830)</w:t>
            </w:r>
          </w:p>
        </w:tc>
        <w:tc>
          <w:tcPr>
            <w:tcW w:type="dxa" w:w="1624"/>
            <w:vAlign w:val="center"/>
          </w:tcPr>
          <w:p>
            <w:r>
              <w:rPr>
                <w:sz w:val="16"/>
              </w:rPr>
              <w:t>Se 0.883 (0.838–0.923); Sp 0.705 (0.642–0.765)</w:t>
            </w:r>
          </w:p>
        </w:tc>
        <w:tc>
          <w:tcPr>
            <w:tcW w:type="dxa" w:w="1624"/>
            <w:vAlign w:val="center"/>
          </w:tcPr>
          <w:p>
            <w:r>
              <w:rPr>
                <w:sz w:val="16"/>
              </w:rPr>
              <w:t>AUROC 0.848 (0.805–0.885)</w:t>
            </w:r>
          </w:p>
        </w:tc>
      </w:tr>
      <w:tr>
        <w:trPr>
          <w:cantSplit/>
        </w:trPr>
        <w:tc>
          <w:tcPr>
            <w:tcW w:type="dxa" w:w="1624"/>
            <w:vAlign w:val="center"/>
          </w:tcPr>
          <w:p>
            <w:r>
              <w:rPr>
                <w:sz w:val="16"/>
              </w:rPr>
              <w:t>binary</w:t>
            </w:r>
          </w:p>
        </w:tc>
        <w:tc>
          <w:tcPr>
            <w:tcW w:type="dxa" w:w="1624"/>
            <w:vAlign w:val="center"/>
          </w:tcPr>
          <w:p>
            <w:r>
              <w:rPr>
                <w:sz w:val="16"/>
              </w:rPr>
              <w:t>COAD–MSI-H strict (MANTIS &gt;0.6)</w:t>
            </w:r>
          </w:p>
        </w:tc>
        <w:tc>
          <w:tcPr>
            <w:tcW w:type="dxa" w:w="1624"/>
            <w:vAlign w:val="center"/>
          </w:tcPr>
          <w:p>
            <w:r>
              <w:rPr>
                <w:sz w:val="16"/>
              </w:rPr>
              <w:t>374</w:t>
            </w:r>
          </w:p>
        </w:tc>
        <w:tc>
          <w:tcPr>
            <w:tcW w:type="dxa" w:w="1624"/>
            <w:vAlign w:val="center"/>
          </w:tcPr>
          <w:p>
            <w:r>
              <w:rPr>
                <w:sz w:val="16"/>
              </w:rPr>
              <w:t>BA 0.782 (0.725–0.833)</w:t>
            </w:r>
          </w:p>
        </w:tc>
        <w:tc>
          <w:tcPr>
            <w:tcW w:type="dxa" w:w="1624"/>
            <w:vAlign w:val="center"/>
          </w:tcPr>
          <w:p>
            <w:r>
              <w:rPr>
                <w:sz w:val="16"/>
              </w:rPr>
              <w:t>Se 0.600 (0.489–0.702); Sp 0.964 (0.946–0.980)</w:t>
            </w:r>
          </w:p>
        </w:tc>
        <w:tc>
          <w:tcPr>
            <w:tcW w:type="dxa" w:w="1624"/>
            <w:vAlign w:val="center"/>
          </w:tcPr>
          <w:p>
            <w:r>
              <w:rPr>
                <w:sz w:val="16"/>
              </w:rPr>
              <w:t>AUROC 0.915 (0.874–0.953)</w:t>
            </w:r>
          </w:p>
        </w:tc>
      </w:tr>
      <w:tr>
        <w:trPr>
          <w:cantSplit/>
        </w:trPr>
        <w:tc>
          <w:tcPr>
            <w:tcW w:type="dxa" w:w="1624"/>
            <w:vAlign w:val="center"/>
          </w:tcPr>
          <w:p>
            <w:r>
              <w:rPr>
                <w:sz w:val="16"/>
              </w:rPr>
              <w:t>binary</w:t>
            </w:r>
          </w:p>
        </w:tc>
        <w:tc>
          <w:tcPr>
            <w:tcW w:type="dxa" w:w="1624"/>
            <w:vAlign w:val="center"/>
          </w:tcPr>
          <w:p>
            <w:r>
              <w:rPr>
                <w:sz w:val="16"/>
              </w:rPr>
              <w:t>LGG–IDH1</w:t>
            </w:r>
          </w:p>
        </w:tc>
        <w:tc>
          <w:tcPr>
            <w:tcW w:type="dxa" w:w="1624"/>
            <w:vAlign w:val="center"/>
          </w:tcPr>
          <w:p>
            <w:r>
              <w:rPr>
                <w:sz w:val="16"/>
              </w:rPr>
              <w:t>485</w:t>
            </w:r>
          </w:p>
        </w:tc>
        <w:tc>
          <w:tcPr>
            <w:tcW w:type="dxa" w:w="1624"/>
            <w:vAlign w:val="center"/>
          </w:tcPr>
          <w:p>
            <w:r>
              <w:rPr>
                <w:sz w:val="16"/>
              </w:rPr>
              <w:t>BA 0.782 (0.740–0.823)</w:t>
            </w:r>
          </w:p>
        </w:tc>
        <w:tc>
          <w:tcPr>
            <w:tcW w:type="dxa" w:w="1624"/>
            <w:vAlign w:val="center"/>
          </w:tcPr>
          <w:p>
            <w:r>
              <w:rPr>
                <w:sz w:val="16"/>
              </w:rPr>
              <w:t>Se 0.940 (0.921–0.957); Sp 0.624 (0.540–0.702)</w:t>
            </w:r>
          </w:p>
        </w:tc>
        <w:tc>
          <w:tcPr>
            <w:tcW w:type="dxa" w:w="1624"/>
            <w:vAlign w:val="center"/>
          </w:tcPr>
          <w:p>
            <w:r>
              <w:rPr>
                <w:sz w:val="16"/>
              </w:rPr>
              <w:t>AUROC 0.853 (0.807–0.898)</w:t>
            </w:r>
          </w:p>
        </w:tc>
      </w:tr>
      <w:tr>
        <w:trPr>
          <w:cantSplit/>
        </w:trPr>
        <w:tc>
          <w:tcPr>
            <w:tcW w:type="dxa" w:w="1624"/>
            <w:vAlign w:val="center"/>
          </w:tcPr>
          <w:p>
            <w:r>
              <w:rPr>
                <w:sz w:val="16"/>
              </w:rPr>
              <w:t>binary</w:t>
            </w:r>
          </w:p>
        </w:tc>
        <w:tc>
          <w:tcPr>
            <w:tcW w:type="dxa" w:w="1624"/>
            <w:vAlign w:val="center"/>
          </w:tcPr>
          <w:p>
            <w:r>
              <w:rPr>
                <w:sz w:val="16"/>
              </w:rPr>
              <w:t>UCEC–Any called fusion</w:t>
            </w:r>
          </w:p>
        </w:tc>
        <w:tc>
          <w:tcPr>
            <w:tcW w:type="dxa" w:w="1624"/>
            <w:vAlign w:val="center"/>
          </w:tcPr>
          <w:p>
            <w:r>
              <w:rPr>
                <w:sz w:val="16"/>
              </w:rPr>
              <w:t>153</w:t>
            </w:r>
          </w:p>
        </w:tc>
        <w:tc>
          <w:tcPr>
            <w:tcW w:type="dxa" w:w="1624"/>
            <w:vAlign w:val="center"/>
          </w:tcPr>
          <w:p>
            <w:r>
              <w:rPr>
                <w:sz w:val="16"/>
              </w:rPr>
              <w:t>BA 0.781 (0.724–0.839)</w:t>
            </w:r>
          </w:p>
        </w:tc>
        <w:tc>
          <w:tcPr>
            <w:tcW w:type="dxa" w:w="1624"/>
            <w:vAlign w:val="center"/>
          </w:tcPr>
          <w:p>
            <w:r>
              <w:rPr>
                <w:sz w:val="16"/>
              </w:rPr>
              <w:t>Se 0.770 (0.683–0.850); Sp 0.792 (0.706–0.868)</w:t>
            </w:r>
          </w:p>
        </w:tc>
        <w:tc>
          <w:tcPr>
            <w:tcW w:type="dxa" w:w="1624"/>
            <w:vAlign w:val="center"/>
          </w:tcPr>
          <w:p>
            <w:r>
              <w:rPr>
                <w:sz w:val="16"/>
              </w:rPr>
              <w:t>AUROC 0.830 (0.770–0.889)</w:t>
            </w:r>
          </w:p>
        </w:tc>
      </w:tr>
      <w:tr>
        <w:trPr>
          <w:cantSplit/>
        </w:trPr>
        <w:tc>
          <w:tcPr>
            <w:tcW w:type="dxa" w:w="1624"/>
            <w:vAlign w:val="center"/>
          </w:tcPr>
          <w:p>
            <w:r>
              <w:rPr>
                <w:sz w:val="16"/>
              </w:rPr>
              <w:t>binary</w:t>
            </w:r>
          </w:p>
        </w:tc>
        <w:tc>
          <w:tcPr>
            <w:tcW w:type="dxa" w:w="1624"/>
            <w:vAlign w:val="center"/>
          </w:tcPr>
          <w:p>
            <w:r>
              <w:rPr>
                <w:sz w:val="16"/>
              </w:rPr>
              <w:t>COAD–TP53</w:t>
            </w:r>
          </w:p>
        </w:tc>
        <w:tc>
          <w:tcPr>
            <w:tcW w:type="dxa" w:w="1624"/>
            <w:vAlign w:val="center"/>
          </w:tcPr>
          <w:p>
            <w:r>
              <w:rPr>
                <w:sz w:val="16"/>
              </w:rPr>
              <w:t>382</w:t>
            </w:r>
          </w:p>
        </w:tc>
        <w:tc>
          <w:tcPr>
            <w:tcW w:type="dxa" w:w="1624"/>
            <w:vAlign w:val="center"/>
          </w:tcPr>
          <w:p>
            <w:r>
              <w:rPr>
                <w:sz w:val="16"/>
              </w:rPr>
              <w:t>BA 0.778 (0.740–0.814)</w:t>
            </w:r>
          </w:p>
        </w:tc>
        <w:tc>
          <w:tcPr>
            <w:tcW w:type="dxa" w:w="1624"/>
            <w:vAlign w:val="center"/>
          </w:tcPr>
          <w:p>
            <w:r>
              <w:rPr>
                <w:sz w:val="16"/>
              </w:rPr>
              <w:t>Se 0.779 (0.720–0.834); Sp 0.777 (0.723–0.827)</w:t>
            </w:r>
          </w:p>
        </w:tc>
        <w:tc>
          <w:tcPr>
            <w:tcW w:type="dxa" w:w="1624"/>
            <w:vAlign w:val="center"/>
          </w:tcPr>
          <w:p>
            <w:r>
              <w:rPr>
                <w:sz w:val="16"/>
              </w:rPr>
              <w:t>AUROC 0.854 (0.815–0.889)</w:t>
            </w:r>
          </w:p>
        </w:tc>
      </w:tr>
      <w:tr>
        <w:trPr>
          <w:cantSplit/>
        </w:trPr>
        <w:tc>
          <w:tcPr>
            <w:tcW w:type="dxa" w:w="1624"/>
            <w:vAlign w:val="center"/>
          </w:tcPr>
          <w:p>
            <w:r>
              <w:rPr>
                <w:sz w:val="16"/>
              </w:rPr>
              <w:t>continuous</w:t>
            </w:r>
          </w:p>
        </w:tc>
        <w:tc>
          <w:tcPr>
            <w:tcW w:type="dxa" w:w="1624"/>
            <w:vAlign w:val="center"/>
          </w:tcPr>
          <w:p>
            <w:r>
              <w:rPr>
                <w:sz w:val="16"/>
              </w:rPr>
              <w:t>BRCA–Wound Healing</w:t>
            </w:r>
          </w:p>
        </w:tc>
        <w:tc>
          <w:tcPr>
            <w:tcW w:type="dxa" w:w="1624"/>
            <w:vAlign w:val="center"/>
          </w:tcPr>
          <w:p>
            <w:r>
              <w:rPr>
                <w:sz w:val="16"/>
              </w:rPr>
              <w:t>1039</w:t>
            </w:r>
          </w:p>
        </w:tc>
        <w:tc>
          <w:tcPr>
            <w:tcW w:type="dxa" w:w="1624"/>
            <w:vAlign w:val="center"/>
          </w:tcPr>
          <w:p>
            <w:r>
              <w:rPr>
                <w:sz w:val="16"/>
              </w:rPr>
              <w:t>Q² -0.169 (-0.196–-0.148)</w:t>
            </w:r>
          </w:p>
        </w:tc>
        <w:tc>
          <w:tcPr>
            <w:tcW w:type="dxa" w:w="1624"/>
            <w:vAlign w:val="center"/>
          </w:tcPr>
          <w:p>
            <w:r>
              <w:rPr>
                <w:sz w:val="16"/>
              </w:rPr>
              <w:t>Not applicable</w:t>
            </w:r>
          </w:p>
        </w:tc>
        <w:tc>
          <w:tcPr>
            <w:tcW w:type="dxa" w:w="1624"/>
            <w:vAlign w:val="center"/>
          </w:tcPr>
          <w:p>
            <w:r>
              <w:rPr>
                <w:sz w:val="16"/>
              </w:rPr>
              <w:t>RMSE 0.174 (0.168–0.181); ρ -0.002 (-0.030–0.026)</w:t>
            </w:r>
          </w:p>
        </w:tc>
      </w:tr>
      <w:tr>
        <w:trPr>
          <w:cantSplit/>
        </w:trPr>
        <w:tc>
          <w:tcPr>
            <w:tcW w:type="dxa" w:w="1624"/>
            <w:vAlign w:val="center"/>
          </w:tcPr>
          <w:p>
            <w:r>
              <w:rPr>
                <w:sz w:val="16"/>
              </w:rPr>
              <w:t>continuous</w:t>
            </w:r>
          </w:p>
        </w:tc>
        <w:tc>
          <w:tcPr>
            <w:tcW w:type="dxa" w:w="1624"/>
            <w:vAlign w:val="center"/>
          </w:tcPr>
          <w:p>
            <w:r>
              <w:rPr>
                <w:sz w:val="16"/>
              </w:rPr>
              <w:t>KIRP–Proliferation</w:t>
            </w:r>
          </w:p>
        </w:tc>
        <w:tc>
          <w:tcPr>
            <w:tcW w:type="dxa" w:w="1624"/>
            <w:vAlign w:val="center"/>
          </w:tcPr>
          <w:p>
            <w:r>
              <w:rPr>
                <w:sz w:val="16"/>
              </w:rPr>
              <w:t>261</w:t>
            </w:r>
          </w:p>
        </w:tc>
        <w:tc>
          <w:tcPr>
            <w:tcW w:type="dxa" w:w="1624"/>
            <w:vAlign w:val="center"/>
          </w:tcPr>
          <w:p>
            <w:r>
              <w:rPr>
                <w:sz w:val="16"/>
              </w:rPr>
              <w:t>Q² -0.205 (-0.269–-0.157)</w:t>
            </w:r>
          </w:p>
        </w:tc>
        <w:tc>
          <w:tcPr>
            <w:tcW w:type="dxa" w:w="1624"/>
            <w:vAlign w:val="center"/>
          </w:tcPr>
          <w:p>
            <w:r>
              <w:rPr>
                <w:sz w:val="16"/>
              </w:rPr>
              <w:t>Not applicable</w:t>
            </w:r>
          </w:p>
        </w:tc>
        <w:tc>
          <w:tcPr>
            <w:tcW w:type="dxa" w:w="1624"/>
            <w:vAlign w:val="center"/>
          </w:tcPr>
          <w:p>
            <w:r>
              <w:rPr>
                <w:sz w:val="16"/>
              </w:rPr>
              <w:t>RMSE 0.620 (0.560–0.673); ρ 0.010 (-0.040–0.066)</w:t>
            </w:r>
          </w:p>
        </w:tc>
      </w:tr>
      <w:tr>
        <w:trPr>
          <w:cantSplit/>
        </w:trPr>
        <w:tc>
          <w:tcPr>
            <w:tcW w:type="dxa" w:w="1624"/>
            <w:vAlign w:val="center"/>
          </w:tcPr>
          <w:p>
            <w:r>
              <w:rPr>
                <w:sz w:val="16"/>
              </w:rPr>
              <w:t>continuous</w:t>
            </w:r>
          </w:p>
        </w:tc>
        <w:tc>
          <w:tcPr>
            <w:tcW w:type="dxa" w:w="1624"/>
            <w:vAlign w:val="center"/>
          </w:tcPr>
          <w:p>
            <w:r>
              <w:rPr>
                <w:sz w:val="16"/>
              </w:rPr>
              <w:t>BRCA–Proliferation</w:t>
            </w:r>
          </w:p>
        </w:tc>
        <w:tc>
          <w:tcPr>
            <w:tcW w:type="dxa" w:w="1624"/>
            <w:vAlign w:val="center"/>
          </w:tcPr>
          <w:p>
            <w:r>
              <w:rPr>
                <w:sz w:val="16"/>
              </w:rPr>
              <w:t>1039</w:t>
            </w:r>
          </w:p>
        </w:tc>
        <w:tc>
          <w:tcPr>
            <w:tcW w:type="dxa" w:w="1624"/>
            <w:vAlign w:val="center"/>
          </w:tcPr>
          <w:p>
            <w:r>
              <w:rPr>
                <w:sz w:val="16"/>
              </w:rPr>
              <w:t>Q² -0.239 (-0.279–-0.206)</w:t>
            </w:r>
          </w:p>
        </w:tc>
        <w:tc>
          <w:tcPr>
            <w:tcW w:type="dxa" w:w="1624"/>
            <w:vAlign w:val="center"/>
          </w:tcPr>
          <w:p>
            <w:r>
              <w:rPr>
                <w:sz w:val="16"/>
              </w:rPr>
              <w:t>Not applicable</w:t>
            </w:r>
          </w:p>
        </w:tc>
        <w:tc>
          <w:tcPr>
            <w:tcW w:type="dxa" w:w="1624"/>
            <w:vAlign w:val="center"/>
          </w:tcPr>
          <w:p>
            <w:r>
              <w:rPr>
                <w:sz w:val="16"/>
              </w:rPr>
              <w:t>RMSE 0.704 (0.679–0.729); ρ 0.012 (-0.014–0.040)</w:t>
            </w:r>
          </w:p>
        </w:tc>
      </w:tr>
      <w:tr>
        <w:trPr>
          <w:cantSplit/>
        </w:trPr>
        <w:tc>
          <w:tcPr>
            <w:tcW w:type="dxa" w:w="1624"/>
            <w:vAlign w:val="center"/>
          </w:tcPr>
          <w:p>
            <w:r>
              <w:rPr>
                <w:sz w:val="16"/>
              </w:rPr>
              <w:t>continuous</w:t>
            </w:r>
          </w:p>
        </w:tc>
        <w:tc>
          <w:tcPr>
            <w:tcW w:type="dxa" w:w="1624"/>
            <w:vAlign w:val="center"/>
          </w:tcPr>
          <w:p>
            <w:r>
              <w:rPr>
                <w:sz w:val="16"/>
              </w:rPr>
              <w:t>TGCT–Wound Healing</w:t>
            </w:r>
          </w:p>
        </w:tc>
        <w:tc>
          <w:tcPr>
            <w:tcW w:type="dxa" w:w="1624"/>
            <w:vAlign w:val="center"/>
          </w:tcPr>
          <w:p>
            <w:r>
              <w:rPr>
                <w:sz w:val="16"/>
              </w:rPr>
              <w:t>148</w:t>
            </w:r>
          </w:p>
        </w:tc>
        <w:tc>
          <w:tcPr>
            <w:tcW w:type="dxa" w:w="1624"/>
            <w:vAlign w:val="center"/>
          </w:tcPr>
          <w:p>
            <w:r>
              <w:rPr>
                <w:sz w:val="16"/>
              </w:rPr>
              <w:t>Q² -0.368 (-0.553–-0.247)</w:t>
            </w:r>
          </w:p>
        </w:tc>
        <w:tc>
          <w:tcPr>
            <w:tcW w:type="dxa" w:w="1624"/>
            <w:vAlign w:val="center"/>
          </w:tcPr>
          <w:p>
            <w:r>
              <w:rPr>
                <w:sz w:val="16"/>
              </w:rPr>
              <w:t>Not applicable</w:t>
            </w:r>
          </w:p>
        </w:tc>
        <w:tc>
          <w:tcPr>
            <w:tcW w:type="dxa" w:w="1624"/>
            <w:vAlign w:val="center"/>
          </w:tcPr>
          <w:p>
            <w:r>
              <w:rPr>
                <w:sz w:val="16"/>
              </w:rPr>
              <w:t>RMSE 0.227 (0.208–0.244); ρ 0.008 (-0.062–0.080)</w:t>
            </w:r>
          </w:p>
        </w:tc>
      </w:tr>
      <w:tr>
        <w:trPr>
          <w:cantSplit/>
        </w:trPr>
        <w:tc>
          <w:tcPr>
            <w:tcW w:type="dxa" w:w="1624"/>
            <w:vAlign w:val="center"/>
          </w:tcPr>
          <w:p>
            <w:r>
              <w:rPr>
                <w:sz w:val="16"/>
              </w:rPr>
              <w:t>continuous</w:t>
            </w:r>
          </w:p>
        </w:tc>
        <w:tc>
          <w:tcPr>
            <w:tcW w:type="dxa" w:w="1624"/>
            <w:vAlign w:val="center"/>
          </w:tcPr>
          <w:p>
            <w:r>
              <w:rPr>
                <w:sz w:val="16"/>
              </w:rPr>
              <w:t>LUAD–Proliferation</w:t>
            </w:r>
          </w:p>
        </w:tc>
        <w:tc>
          <w:tcPr>
            <w:tcW w:type="dxa" w:w="1624"/>
            <w:vAlign w:val="center"/>
          </w:tcPr>
          <w:p>
            <w:r>
              <w:rPr>
                <w:sz w:val="16"/>
              </w:rPr>
              <w:t>410</w:t>
            </w:r>
          </w:p>
        </w:tc>
        <w:tc>
          <w:tcPr>
            <w:tcW w:type="dxa" w:w="1624"/>
            <w:vAlign w:val="center"/>
          </w:tcPr>
          <w:p>
            <w:r>
              <w:rPr>
                <w:sz w:val="16"/>
              </w:rPr>
              <w:t>Q² -0.550 (-0.656–-0.468)</w:t>
            </w:r>
          </w:p>
        </w:tc>
        <w:tc>
          <w:tcPr>
            <w:tcW w:type="dxa" w:w="1624"/>
            <w:vAlign w:val="center"/>
          </w:tcPr>
          <w:p>
            <w:r>
              <w:rPr>
                <w:sz w:val="16"/>
              </w:rPr>
              <w:t>Not applicable</w:t>
            </w:r>
          </w:p>
        </w:tc>
        <w:tc>
          <w:tcPr>
            <w:tcW w:type="dxa" w:w="1624"/>
            <w:vAlign w:val="center"/>
          </w:tcPr>
          <w:p>
            <w:r>
              <w:rPr>
                <w:sz w:val="16"/>
              </w:rPr>
              <w:t>RMSE 0.811 (0.771–0.849); ρ -0.019 (-0.064–0.026)</w:t>
            </w:r>
          </w:p>
        </w:tc>
      </w:tr>
      <w:tr>
        <w:trPr>
          <w:cantSplit/>
        </w:trPr>
        <w:tc>
          <w:tcPr>
            <w:tcW w:type="dxa" w:w="1624"/>
            <w:vAlign w:val="center"/>
          </w:tcPr>
          <w:p>
            <w:r>
              <w:rPr>
                <w:sz w:val="16"/>
              </w:rPr>
              <w:t>continuous</w:t>
            </w:r>
          </w:p>
        </w:tc>
        <w:tc>
          <w:tcPr>
            <w:tcW w:type="dxa" w:w="1624"/>
            <w:vAlign w:val="center"/>
          </w:tcPr>
          <w:p>
            <w:r>
              <w:rPr>
                <w:sz w:val="16"/>
              </w:rPr>
              <w:t>TGCT–TGF-beta Response</w:t>
            </w:r>
          </w:p>
        </w:tc>
        <w:tc>
          <w:tcPr>
            <w:tcW w:type="dxa" w:w="1624"/>
            <w:vAlign w:val="center"/>
          </w:tcPr>
          <w:p>
            <w:r>
              <w:rPr>
                <w:sz w:val="16"/>
              </w:rPr>
              <w:t>148</w:t>
            </w:r>
          </w:p>
        </w:tc>
        <w:tc>
          <w:tcPr>
            <w:tcW w:type="dxa" w:w="1624"/>
            <w:vAlign w:val="center"/>
          </w:tcPr>
          <w:p>
            <w:r>
              <w:rPr>
                <w:sz w:val="16"/>
              </w:rPr>
              <w:t>Q² -0.600 (-0.876–-0.409)</w:t>
            </w:r>
          </w:p>
        </w:tc>
        <w:tc>
          <w:tcPr>
            <w:tcW w:type="dxa" w:w="1624"/>
            <w:vAlign w:val="center"/>
          </w:tcPr>
          <w:p>
            <w:r>
              <w:rPr>
                <w:sz w:val="16"/>
              </w:rPr>
              <w:t>Not applicable</w:t>
            </w:r>
          </w:p>
        </w:tc>
        <w:tc>
          <w:tcPr>
            <w:tcW w:type="dxa" w:w="1624"/>
            <w:vAlign w:val="center"/>
          </w:tcPr>
          <w:p>
            <w:r>
              <w:rPr>
                <w:sz w:val="16"/>
              </w:rPr>
              <w:t>RMSE 0.666 (0.601–0.722); ρ 0.021 (-0.051–0.093)</w:t>
            </w:r>
          </w:p>
        </w:tc>
      </w:tr>
      <w:tr>
        <w:trPr>
          <w:cantSplit/>
        </w:trPr>
        <w:tc>
          <w:tcPr>
            <w:tcW w:type="dxa" w:w="1624"/>
            <w:vAlign w:val="center"/>
          </w:tcPr>
          <w:p>
            <w:r>
              <w:rPr>
                <w:sz w:val="16"/>
              </w:rPr>
              <w:t>continuous</w:t>
            </w:r>
          </w:p>
        </w:tc>
        <w:tc>
          <w:tcPr>
            <w:tcW w:type="dxa" w:w="1624"/>
            <w:vAlign w:val="center"/>
          </w:tcPr>
          <w:p>
            <w:r>
              <w:rPr>
                <w:sz w:val="16"/>
              </w:rPr>
              <w:t>SARC–Macrophage Regulation</w:t>
            </w:r>
          </w:p>
        </w:tc>
        <w:tc>
          <w:tcPr>
            <w:tcW w:type="dxa" w:w="1624"/>
            <w:vAlign w:val="center"/>
          </w:tcPr>
          <w:p>
            <w:r>
              <w:rPr>
                <w:sz w:val="16"/>
              </w:rPr>
              <w:t>218</w:t>
            </w:r>
          </w:p>
        </w:tc>
        <w:tc>
          <w:tcPr>
            <w:tcW w:type="dxa" w:w="1624"/>
            <w:vAlign w:val="center"/>
          </w:tcPr>
          <w:p>
            <w:r>
              <w:rPr>
                <w:sz w:val="16"/>
              </w:rPr>
              <w:t>Q² -0.629 (-0.846–-0.465)</w:t>
            </w:r>
          </w:p>
        </w:tc>
        <w:tc>
          <w:tcPr>
            <w:tcW w:type="dxa" w:w="1624"/>
            <w:vAlign w:val="center"/>
          </w:tcPr>
          <w:p>
            <w:r>
              <w:rPr>
                <w:sz w:val="16"/>
              </w:rPr>
              <w:t>Not applicable</w:t>
            </w:r>
          </w:p>
        </w:tc>
        <w:tc>
          <w:tcPr>
            <w:tcW w:type="dxa" w:w="1624"/>
            <w:vAlign w:val="center"/>
          </w:tcPr>
          <w:p>
            <w:r>
              <w:rPr>
                <w:sz w:val="16"/>
              </w:rPr>
              <w:t>RMSE 1.130 (1.038–1.222); ρ 0.033 (-0.031–0.095)</w:t>
            </w:r>
          </w:p>
        </w:tc>
      </w:tr>
      <w:tr>
        <w:trPr>
          <w:cantSplit/>
        </w:trPr>
        <w:tc>
          <w:tcPr>
            <w:tcW w:type="dxa" w:w="1624"/>
            <w:vAlign w:val="center"/>
          </w:tcPr>
          <w:p>
            <w:r>
              <w:rPr>
                <w:sz w:val="16"/>
              </w:rPr>
              <w:t>continuous</w:t>
            </w:r>
          </w:p>
        </w:tc>
        <w:tc>
          <w:tcPr>
            <w:tcW w:type="dxa" w:w="1624"/>
            <w:vAlign w:val="center"/>
          </w:tcPr>
          <w:p>
            <w:r>
              <w:rPr>
                <w:sz w:val="16"/>
              </w:rPr>
              <w:t>THYM–Th17 Cells</w:t>
            </w:r>
          </w:p>
        </w:tc>
        <w:tc>
          <w:tcPr>
            <w:tcW w:type="dxa" w:w="1624"/>
            <w:vAlign w:val="center"/>
          </w:tcPr>
          <w:p>
            <w:r>
              <w:rPr>
                <w:sz w:val="16"/>
              </w:rPr>
              <w:t>117</w:t>
            </w:r>
          </w:p>
        </w:tc>
        <w:tc>
          <w:tcPr>
            <w:tcW w:type="dxa" w:w="1624"/>
            <w:vAlign w:val="center"/>
          </w:tcPr>
          <w:p>
            <w:r>
              <w:rPr>
                <w:sz w:val="16"/>
              </w:rPr>
              <w:t>Q² -0.708 (-0.968–-0.500)</w:t>
            </w:r>
          </w:p>
        </w:tc>
        <w:tc>
          <w:tcPr>
            <w:tcW w:type="dxa" w:w="1624"/>
            <w:vAlign w:val="center"/>
          </w:tcPr>
          <w:p>
            <w:r>
              <w:rPr>
                <w:sz w:val="16"/>
              </w:rPr>
              <w:t>Not applicable</w:t>
            </w:r>
          </w:p>
        </w:tc>
        <w:tc>
          <w:tcPr>
            <w:tcW w:type="dxa" w:w="1624"/>
            <w:vAlign w:val="center"/>
          </w:tcPr>
          <w:p>
            <w:r>
              <w:rPr>
                <w:sz w:val="16"/>
              </w:rPr>
              <w:t>RMSE 3549.191 (3329.668–3760.025); ρ 0.025 (-0.058–0.120)</w:t>
            </w:r>
          </w:p>
        </w:tc>
      </w:tr>
      <w:tr>
        <w:trPr>
          <w:cantSplit/>
        </w:trPr>
        <w:tc>
          <w:tcPr>
            <w:tcW w:type="dxa" w:w="1624"/>
            <w:vAlign w:val="center"/>
          </w:tcPr>
          <w:p>
            <w:r>
              <w:rPr>
                <w:sz w:val="16"/>
              </w:rPr>
              <w:t>continuous</w:t>
            </w:r>
          </w:p>
        </w:tc>
        <w:tc>
          <w:tcPr>
            <w:tcW w:type="dxa" w:w="1624"/>
            <w:vAlign w:val="center"/>
          </w:tcPr>
          <w:p>
            <w:r>
              <w:rPr>
                <w:sz w:val="16"/>
              </w:rPr>
              <w:t>THCA–Lymphocyte Infiltration Signature Score</w:t>
            </w:r>
          </w:p>
        </w:tc>
        <w:tc>
          <w:tcPr>
            <w:tcW w:type="dxa" w:w="1624"/>
            <w:vAlign w:val="center"/>
          </w:tcPr>
          <w:p>
            <w:r>
              <w:rPr>
                <w:sz w:val="16"/>
              </w:rPr>
              <w:t>498</w:t>
            </w:r>
          </w:p>
        </w:tc>
        <w:tc>
          <w:tcPr>
            <w:tcW w:type="dxa" w:w="1624"/>
            <w:vAlign w:val="center"/>
          </w:tcPr>
          <w:p>
            <w:r>
              <w:rPr>
                <w:sz w:val="16"/>
              </w:rPr>
              <w:t>Q² -0.725 (-0.848–-0.630)</w:t>
            </w:r>
          </w:p>
        </w:tc>
        <w:tc>
          <w:tcPr>
            <w:tcW w:type="dxa" w:w="1624"/>
            <w:vAlign w:val="center"/>
          </w:tcPr>
          <w:p>
            <w:r>
              <w:rPr>
                <w:sz w:val="16"/>
              </w:rPr>
              <w:t>Not applicable</w:t>
            </w:r>
          </w:p>
        </w:tc>
        <w:tc>
          <w:tcPr>
            <w:tcW w:type="dxa" w:w="1624"/>
            <w:vAlign w:val="center"/>
          </w:tcPr>
          <w:p>
            <w:r>
              <w:rPr>
                <w:sz w:val="16"/>
              </w:rPr>
              <w:t>RMSE 1.576 (1.505–1.659); ρ 0.015 (-0.027–0.054)</w:t>
            </w:r>
          </w:p>
        </w:tc>
      </w:tr>
      <w:tr>
        <w:trPr>
          <w:cantSplit/>
        </w:trPr>
        <w:tc>
          <w:tcPr>
            <w:tcW w:type="dxa" w:w="1624"/>
            <w:vAlign w:val="center"/>
          </w:tcPr>
          <w:p>
            <w:r>
              <w:rPr>
                <w:sz w:val="16"/>
              </w:rPr>
              <w:t>continuous</w:t>
            </w:r>
          </w:p>
        </w:tc>
        <w:tc>
          <w:tcPr>
            <w:tcW w:type="dxa" w:w="1624"/>
            <w:vAlign w:val="center"/>
          </w:tcPr>
          <w:p>
            <w:r>
              <w:rPr>
                <w:sz w:val="16"/>
              </w:rPr>
              <w:t>THCA–Macrophage Regulation</w:t>
            </w:r>
          </w:p>
        </w:tc>
        <w:tc>
          <w:tcPr>
            <w:tcW w:type="dxa" w:w="1624"/>
            <w:vAlign w:val="center"/>
          </w:tcPr>
          <w:p>
            <w:r>
              <w:rPr>
                <w:sz w:val="16"/>
              </w:rPr>
              <w:t>498</w:t>
            </w:r>
          </w:p>
        </w:tc>
        <w:tc>
          <w:tcPr>
            <w:tcW w:type="dxa" w:w="1624"/>
            <w:vAlign w:val="center"/>
          </w:tcPr>
          <w:p>
            <w:r>
              <w:rPr>
                <w:sz w:val="16"/>
              </w:rPr>
              <w:t>Q² -0.765 (-0.882–-0.669)</w:t>
            </w:r>
          </w:p>
        </w:tc>
        <w:tc>
          <w:tcPr>
            <w:tcW w:type="dxa" w:w="1624"/>
            <w:vAlign w:val="center"/>
          </w:tcPr>
          <w:p>
            <w:r>
              <w:rPr>
                <w:sz w:val="16"/>
              </w:rPr>
              <w:t>Not applicable</w:t>
            </w:r>
          </w:p>
        </w:tc>
        <w:tc>
          <w:tcPr>
            <w:tcW w:type="dxa" w:w="1624"/>
            <w:vAlign w:val="center"/>
          </w:tcPr>
          <w:p>
            <w:r>
              <w:rPr>
                <w:sz w:val="16"/>
              </w:rPr>
              <w:t>RMSE 0.859 (0.826–0.895); ρ 0.013 (-0.027–0.048)</w:t>
            </w:r>
          </w:p>
        </w:tc>
      </w:tr>
      <w:tr>
        <w:trPr>
          <w:cantSplit/>
        </w:trPr>
        <w:tc>
          <w:tcPr>
            <w:tcW w:type="dxa" w:w="1624"/>
            <w:vAlign w:val="center"/>
          </w:tcPr>
          <w:p>
            <w:r>
              <w:rPr>
                <w:sz w:val="16"/>
              </w:rPr>
              <w:t>continuous</w:t>
            </w:r>
          </w:p>
        </w:tc>
        <w:tc>
          <w:tcPr>
            <w:tcW w:type="dxa" w:w="1624"/>
            <w:vAlign w:val="center"/>
          </w:tcPr>
          <w:p>
            <w:r>
              <w:rPr>
                <w:sz w:val="16"/>
              </w:rPr>
              <w:t>THCA–TGF-beta Response</w:t>
            </w:r>
          </w:p>
        </w:tc>
        <w:tc>
          <w:tcPr>
            <w:tcW w:type="dxa" w:w="1624"/>
            <w:vAlign w:val="center"/>
          </w:tcPr>
          <w:p>
            <w:r>
              <w:rPr>
                <w:sz w:val="16"/>
              </w:rPr>
              <w:t>498</w:t>
            </w:r>
          </w:p>
        </w:tc>
        <w:tc>
          <w:tcPr>
            <w:tcW w:type="dxa" w:w="1624"/>
            <w:vAlign w:val="center"/>
          </w:tcPr>
          <w:p>
            <w:r>
              <w:rPr>
                <w:sz w:val="16"/>
              </w:rPr>
              <w:t>Q² -0.858 (-1.015–-0.732)</w:t>
            </w:r>
          </w:p>
        </w:tc>
        <w:tc>
          <w:tcPr>
            <w:tcW w:type="dxa" w:w="1624"/>
            <w:vAlign w:val="center"/>
          </w:tcPr>
          <w:p>
            <w:r>
              <w:rPr>
                <w:sz w:val="16"/>
              </w:rPr>
              <w:t>Not applicable</w:t>
            </w:r>
          </w:p>
        </w:tc>
        <w:tc>
          <w:tcPr>
            <w:tcW w:type="dxa" w:w="1624"/>
            <w:vAlign w:val="center"/>
          </w:tcPr>
          <w:p>
            <w:r>
              <w:rPr>
                <w:sz w:val="16"/>
              </w:rPr>
              <w:t>RMSE 0.459 (0.442–0.476); ρ 0.010 (-0.032–0.051)</w:t>
            </w:r>
          </w:p>
        </w:tc>
      </w:tr>
      <w:tr>
        <w:trPr>
          <w:cantSplit/>
        </w:trPr>
        <w:tc>
          <w:tcPr>
            <w:tcW w:type="dxa" w:w="1624"/>
            <w:vAlign w:val="center"/>
          </w:tcPr>
          <w:p>
            <w:r>
              <w:rPr>
                <w:sz w:val="16"/>
              </w:rPr>
              <w:t>continuous</w:t>
            </w:r>
          </w:p>
        </w:tc>
        <w:tc>
          <w:tcPr>
            <w:tcW w:type="dxa" w:w="1624"/>
            <w:vAlign w:val="center"/>
          </w:tcPr>
          <w:p>
            <w:r>
              <w:rPr>
                <w:sz w:val="16"/>
              </w:rPr>
              <w:t>THCA–Th1 Cells</w:t>
            </w:r>
          </w:p>
        </w:tc>
        <w:tc>
          <w:tcPr>
            <w:tcW w:type="dxa" w:w="1624"/>
            <w:vAlign w:val="center"/>
          </w:tcPr>
          <w:p>
            <w:r>
              <w:rPr>
                <w:sz w:val="16"/>
              </w:rPr>
              <w:t>498</w:t>
            </w:r>
          </w:p>
        </w:tc>
        <w:tc>
          <w:tcPr>
            <w:tcW w:type="dxa" w:w="1624"/>
            <w:vAlign w:val="center"/>
          </w:tcPr>
          <w:p>
            <w:r>
              <w:rPr>
                <w:sz w:val="16"/>
              </w:rPr>
              <w:t>Q² -0.957 (-1.175–-0.781)</w:t>
            </w:r>
          </w:p>
        </w:tc>
        <w:tc>
          <w:tcPr>
            <w:tcW w:type="dxa" w:w="1624"/>
            <w:vAlign w:val="center"/>
          </w:tcPr>
          <w:p>
            <w:r>
              <w:rPr>
                <w:sz w:val="16"/>
              </w:rPr>
              <w:t>Not applicable</w:t>
            </w:r>
          </w:p>
        </w:tc>
        <w:tc>
          <w:tcPr>
            <w:tcW w:type="dxa" w:w="1624"/>
            <w:vAlign w:val="center"/>
          </w:tcPr>
          <w:p>
            <w:r>
              <w:rPr>
                <w:sz w:val="16"/>
              </w:rPr>
              <w:t>RMSE 1018.312 (976.846–1059.370); ρ 0.010 (-0.031–0.051)</w:t>
            </w:r>
          </w:p>
        </w:tc>
      </w:tr>
    </w:tbl>
    <w:p/>
    <w:p>
      <w:pPr>
        <w:pStyle w:val="Heading1"/>
      </w:pPr>
      <w:r>
        <w:t>Table S6b. Highlighted-model deployment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44eadd01a8ca;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11c2743b3c99;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a06db88cc2b1;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77f617b504f3;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9eae5ee87b2f;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e47c9c4e882e;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202b89dd8e0b;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48f96f31d5a0;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045ae79e6661;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ab5eb23551ed;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afcb159ea2d0;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0fefcd375624;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da698fcd4669;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355d7b2470d2;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54f60cef4adb;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cfb44e5875c0;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c3e02189e356;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d9672f52b49f;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0341c91ad916;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1e51bc74ecd3;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bc0a589a8beb;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4ce4670a9926;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452db4d2d91b;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3b8802420945;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 Screen-positive mutation predictors classified by prior exact-pair evidence</w:t>
      </w:r>
    </w:p>
    <w:p>
      <w:r>
        <w:t>Atlas-nominated means absent from the prespecified exact-pair crosswalk and should not be interpreted as proof that no previous publication has studied the pair.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atlas-nominated</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prior report recovered</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prior report recovered</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prior report recovered</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prior report recovered</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atlas-nominated</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prior report recovered</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prior report recovered</w:t>
            </w:r>
          </w:p>
        </w:tc>
        <w:tc>
          <w:tcPr>
            <w:tcW w:type="dxa" w:w="1218"/>
            <w:vAlign w:val="center"/>
          </w:tcPr>
          <w:p>
            <w:r>
              <w:rPr>
                <w:sz w:val="16"/>
              </w:rPr>
              <w:t>371</w:t>
            </w:r>
          </w:p>
        </w:tc>
        <w:tc>
          <w:tcPr>
            <w:tcW w:type="dxa" w:w="1218"/>
            <w:vAlign w:val="center"/>
          </w:tcPr>
          <w:p>
            <w:r>
              <w:rPr>
                <w:sz w:val="16"/>
              </w:rPr>
              <w:t>58</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431</w:t>
            </w:r>
          </w:p>
        </w:tc>
        <w:tc>
          <w:tcPr>
            <w:tcW w:type="dxa" w:w="1218"/>
            <w:vAlign w:val="center"/>
          </w:tcPr>
          <w:p>
            <w:r>
              <w:rPr>
                <w:sz w:val="16"/>
              </w:rPr>
              <w:t>320</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34</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350</w:t>
            </w:r>
          </w:p>
        </w:tc>
        <w:tc>
          <w:tcPr>
            <w:tcW w:type="dxa" w:w="1218"/>
            <w:vAlign w:val="center"/>
          </w:tcPr>
          <w:p>
            <w:r>
              <w:rPr>
                <w:sz w:val="16"/>
              </w:rPr>
              <w:t>107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atlas-nominated</w:t>
            </w:r>
          </w:p>
        </w:tc>
        <w:tc>
          <w:tcPr>
            <w:tcW w:type="dxa" w:w="1218"/>
            <w:vAlign w:val="center"/>
          </w:tcPr>
          <w:p>
            <w:r>
              <w:rPr>
                <w:sz w:val="16"/>
              </w:rPr>
              <w:t>350</w:t>
            </w:r>
          </w:p>
        </w:tc>
        <w:tc>
          <w:tcPr>
            <w:tcW w:type="dxa" w:w="1218"/>
            <w:vAlign w:val="center"/>
          </w:tcPr>
          <w:p>
            <w:r>
              <w:rPr>
                <w:sz w:val="16"/>
              </w:rPr>
              <w:t>20</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266</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prior report recovered</w:t>
            </w:r>
          </w:p>
        </w:tc>
        <w:tc>
          <w:tcPr>
            <w:tcW w:type="dxa" w:w="1218"/>
            <w:vAlign w:val="center"/>
          </w:tcPr>
          <w:p>
            <w:r>
              <w:rPr>
                <w:sz w:val="16"/>
              </w:rPr>
              <w:t>431</w:t>
            </w:r>
          </w:p>
        </w:tc>
        <w:tc>
          <w:tcPr>
            <w:tcW w:type="dxa" w:w="1218"/>
            <w:vAlign w:val="center"/>
          </w:tcPr>
          <w:p>
            <w:r>
              <w:rPr>
                <w:sz w:val="16"/>
              </w:rPr>
              <w:t>51</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98</w:t>
            </w:r>
          </w:p>
        </w:tc>
        <w:tc>
          <w:tcPr>
            <w:tcW w:type="dxa" w:w="1218"/>
            <w:vAlign w:val="center"/>
          </w:tcPr>
          <w:p>
            <w:r>
              <w:rPr>
                <w:sz w:val="16"/>
              </w:rPr>
              <w:t>52</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175</w:t>
            </w:r>
          </w:p>
        </w:tc>
        <w:tc>
          <w:tcPr>
            <w:tcW w:type="dxa" w:w="1218"/>
            <w:vAlign w:val="center"/>
          </w:tcPr>
          <w:p>
            <w:r>
              <w:rPr>
                <w:sz w:val="16"/>
              </w:rPr>
              <w:t>106</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23</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229</w:t>
            </w:r>
          </w:p>
        </w:tc>
        <w:tc>
          <w:tcPr>
            <w:tcW w:type="dxa" w:w="1218"/>
            <w:vAlign w:val="center"/>
          </w:tcPr>
          <w:p>
            <w:r>
              <w:rPr>
                <w:sz w:val="16"/>
              </w:rPr>
              <w:t>81</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prior report recovered</w:t>
            </w:r>
          </w:p>
        </w:tc>
        <w:tc>
          <w:tcPr>
            <w:tcW w:type="dxa" w:w="1218"/>
            <w:vAlign w:val="center"/>
          </w:tcPr>
          <w:p>
            <w:r>
              <w:rPr>
                <w:sz w:val="16"/>
              </w:rPr>
              <w:t>463</w:t>
            </w:r>
          </w:p>
        </w:tc>
        <w:tc>
          <w:tcPr>
            <w:tcW w:type="dxa" w:w="1218"/>
            <w:vAlign w:val="center"/>
          </w:tcPr>
          <w:p>
            <w:r>
              <w:rPr>
                <w:sz w:val="16"/>
              </w:rPr>
              <w:t>59</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atlas-nominated</w:t>
            </w:r>
          </w:p>
        </w:tc>
        <w:tc>
          <w:tcPr>
            <w:tcW w:type="dxa" w:w="1218"/>
            <w:vAlign w:val="center"/>
          </w:tcPr>
          <w:p>
            <w:r>
              <w:rPr>
                <w:sz w:val="16"/>
              </w:rPr>
              <w:t>487</w:t>
            </w:r>
          </w:p>
        </w:tc>
        <w:tc>
          <w:tcPr>
            <w:tcW w:type="dxa" w:w="1218"/>
            <w:vAlign w:val="center"/>
          </w:tcPr>
          <w:p>
            <w:r>
              <w:rPr>
                <w:sz w:val="16"/>
              </w:rPr>
              <w:t>176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44</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252</w:t>
            </w:r>
          </w:p>
        </w:tc>
        <w:tc>
          <w:tcPr>
            <w:tcW w:type="dxa" w:w="1218"/>
            <w:vAlign w:val="center"/>
          </w:tcPr>
          <w:p>
            <w:r>
              <w:rPr>
                <w:sz w:val="16"/>
              </w:rPr>
              <w:t>21</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atlas-nominated</w:t>
            </w:r>
          </w:p>
        </w:tc>
        <w:tc>
          <w:tcPr>
            <w:tcW w:type="dxa" w:w="1218"/>
            <w:vAlign w:val="center"/>
          </w:tcPr>
          <w:p>
            <w:r>
              <w:rPr>
                <w:sz w:val="16"/>
              </w:rPr>
              <w:t>353</w:t>
            </w:r>
          </w:p>
        </w:tc>
        <w:tc>
          <w:tcPr>
            <w:tcW w:type="dxa" w:w="1218"/>
            <w:vAlign w:val="center"/>
          </w:tcPr>
          <w:p>
            <w:r>
              <w:rPr>
                <w:sz w:val="16"/>
              </w:rPr>
              <w:t>161</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atlas-nominated</w:t>
            </w:r>
          </w:p>
        </w:tc>
        <w:tc>
          <w:tcPr>
            <w:tcW w:type="dxa" w:w="1218"/>
            <w:vAlign w:val="center"/>
          </w:tcPr>
          <w:p>
            <w:r>
              <w:rPr>
                <w:sz w:val="16"/>
              </w:rPr>
              <w:t>384</w:t>
            </w:r>
          </w:p>
        </w:tc>
        <w:tc>
          <w:tcPr>
            <w:tcW w:type="dxa" w:w="1218"/>
            <w:vAlign w:val="center"/>
          </w:tcPr>
          <w:p>
            <w:r>
              <w:rPr>
                <w:sz w:val="16"/>
              </w:rPr>
              <w:t>82</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pPr>
      <w:r>
        <w:t>continuous_screen.csv</w:t>
      </w:r>
    </w:p>
    <w:p>
      <w:pPr>
        <w:pStyle w:val="ListBullet"/>
      </w:pPr>
      <w:r>
        <w:t>binary_screen.csv</w:t>
      </w:r>
    </w:p>
    <w:p>
      <w:pPr>
        <w:pStyle w:val="ListBullet"/>
      </w:pPr>
      <w:r>
        <w:t>screen_positive_performance_summary.csv</w:t>
      </w:r>
    </w:p>
    <w:p>
      <w:pPr>
        <w:pStyle w:val="ListBullet"/>
      </w:pPr>
      <w:r>
        <w:t>highlighted_model_performance.csv</w:t>
      </w:r>
    </w:p>
    <w:p>
      <w:pPr>
        <w:pStyle w:val="ListBullet"/>
      </w:pPr>
      <w:r>
        <w:t>continuous_repeated_nested_cv.csv</w:t>
      </w:r>
    </w:p>
    <w:p>
      <w:pPr>
        <w:pStyle w:val="ListBullet"/>
      </w:pPr>
      <w:r>
        <w:t>binary_repeated_nested_cv.csv</w:t>
      </w:r>
    </w:p>
    <w:p>
      <w:pPr>
        <w:pStyle w:val="ListBullet"/>
      </w:pPr>
      <w:r>
        <w:t>continuous_repeated_oof_predictions.csv.gz</w:t>
      </w:r>
    </w:p>
    <w:p>
      <w:pPr>
        <w:pStyle w:val="ListBullet"/>
      </w:pPr>
      <w:r>
        <w:t>binary_repeated_oof_predictions.csv.gz</w:t>
      </w:r>
    </w:p>
    <w:p>
      <w:pPr>
        <w:pStyle w:val="ListBullet"/>
      </w:pPr>
      <w:r>
        <w:t>continuous_site_grouped_sensitivity.csv</w:t>
      </w:r>
    </w:p>
    <w:p>
      <w:pPr>
        <w:pStyle w:val="ListBullet"/>
      </w:pPr>
      <w:r>
        <w:t>binary_site_grouped_sensitivity.csv</w:t>
      </w:r>
    </w:p>
    <w:p>
      <w:pPr>
        <w:pStyle w:val="ListBullet"/>
      </w:pPr>
      <w:r>
        <w:t>continuous_slide_pooling_sensitivity.csv</w:t>
      </w:r>
    </w:p>
    <w:p>
      <w:pPr>
        <w:pStyle w:val="ListBullet"/>
      </w:pPr>
      <w:r>
        <w:t>binary_slide_pooling_sensitivity.csv</w:t>
      </w:r>
    </w:p>
    <w:p>
      <w:pPr>
        <w:pStyle w:val="ListBullet"/>
      </w:pPr>
      <w:r>
        <w:t>pls1_vs_pls2_inflammation.csv</w:t>
      </w:r>
    </w:p>
    <w:p>
      <w:pPr>
        <w:pStyle w:val="ListBullet"/>
      </w:pPr>
      <w:r>
        <w:t>prior_mutation_literature_crosswalk.csv</w:t>
      </w:r>
    </w:p>
    <w:p>
      <w:pPr>
        <w:pStyle w:val="ListBullet"/>
      </w:pPr>
      <w:r>
        <w:t>prior_mutation_accuracy_comparison.csv</w:t>
      </w:r>
    </w:p>
    <w:p>
      <w:pPr>
        <w:pStyle w:val="ListBullet"/>
      </w:pPr>
      <w:r>
        <w:t>supported_mutation_novelty.csv</w:t>
      </w:r>
    </w:p>
    <w:p>
      <w:pPr>
        <w:pStyle w:val="ListBullet"/>
      </w:pPr>
      <w:r>
        <w:t>slide_report_coverage_audit.csv</w:t>
      </w:r>
    </w:p>
    <w:p>
      <w:pPr>
        <w:pStyle w:val="ListBullet"/>
      </w:pPr>
      <w:r>
        <w:t>patient_slide_multiplicity_by_cancer.csv</w:t>
      </w:r>
    </w:p>
    <w:p>
      <w:pPr>
        <w:pStyle w:val="ListBullet"/>
      </w:pPr>
      <w:r>
        <w:t>participant_characteristics_by_cancer.csv</w:t>
      </w:r>
    </w:p>
    <w:p>
      <w:pPr>
        <w:pStyle w:val="ListBullet"/>
      </w:pPr>
      <w:r>
        <w:t>tcga_cdr_match_audit.csv</w:t>
      </w:r>
    </w:p>
    <w:p>
      <w:pPr>
        <w:pStyle w:val="ListBullet"/>
      </w:pPr>
      <w:r>
        <w:t>molecular_source_coverage_audit.csv</w:t>
      </w:r>
    </w:p>
    <w:p>
      <w:pPr>
        <w:pStyle w:val="ListBullet"/>
      </w:pPr>
      <w:r>
        <w:t>mutation_coverage_audit.csv</w:t>
      </w:r>
    </w:p>
    <w:p>
      <w:pPr>
        <w:pStyle w:val="ListBullet"/>
      </w:pPr>
      <w:r>
        <w:t>mutation_target_eligibility_audit.csv</w:t>
      </w:r>
    </w:p>
    <w:p>
      <w:pPr>
        <w:pStyle w:val="ListBullet"/>
      </w:pPr>
      <w:r>
        <w:t>mutation_variant_classification_audit.csv</w:t>
      </w:r>
    </w:p>
    <w:p>
      <w:pPr>
        <w:pStyle w:val="ListBullet"/>
      </w:pPr>
      <w:r>
        <w:t>source_manifest.csv</w:t>
      </w:r>
    </w:p>
    <w:p>
      <w:pPr>
        <w:pStyle w:val="ListBullet"/>
      </w:pPr>
      <w:r>
        <w:t>software_manifest.csv</w:t>
      </w:r>
    </w:p>
    <w:p>
      <w:pPr>
        <w:pStyle w:val="ListBullet"/>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