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BRCA–Wound Healing (Q² -0.169, 95% bootstrap interval -0.196–-0.148; RMSE 0.174, Spearman -0.002)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Repeated nested validation, site-grouped folds and first-slide sensitivity quantified uncertainty, centre dependence and slide-aggregation dependence.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-0.169 (-0.196–-0.148)</w:t>
            </w:r>
          </w:p>
        </w:tc>
        <w:tc>
          <w:tcPr>
            <w:tcW w:type="dxa" w:w="1949"/>
            <w:vAlign w:val="center"/>
          </w:tcPr>
          <w:p>
            <w:r>
              <w:rPr>
                <w:sz w:val="16"/>
              </w:rPr>
              <w:t>0.174 (0.168–0.181)</w:t>
            </w:r>
          </w:p>
        </w:tc>
        <w:tc>
          <w:tcPr>
            <w:tcW w:type="dxa" w:w="1949"/>
            <w:vAlign w:val="center"/>
          </w:tcPr>
          <w:p>
            <w:r>
              <w:rPr>
                <w:sz w:val="16"/>
              </w:rPr>
              <w:t>-0.002 (-0.030–0.026)</w:t>
            </w:r>
          </w:p>
        </w:tc>
      </w:tr>
      <w:tr>
        <w:trPr>
          <w:cantSplit/>
        </w:trPr>
        <w:tc>
          <w:tcPr>
            <w:tcW w:type="dxa" w:w="1949"/>
            <w:vAlign w:val="center"/>
          </w:tcPr>
          <w:p>
            <w:r>
              <w:rPr>
                <w:sz w:val="16"/>
              </w:rPr>
              <w:t>KIRP–Proliferation</w:t>
            </w:r>
          </w:p>
        </w:tc>
        <w:tc>
          <w:tcPr>
            <w:tcW w:type="dxa" w:w="1949"/>
            <w:vAlign w:val="center"/>
          </w:tcPr>
          <w:p>
            <w:r>
              <w:rPr>
                <w:sz w:val="16"/>
              </w:rPr>
              <w:t>continuous</w:t>
            </w:r>
          </w:p>
        </w:tc>
        <w:tc>
          <w:tcPr>
            <w:tcW w:type="dxa" w:w="1949"/>
            <w:vAlign w:val="center"/>
          </w:tcPr>
          <w:p>
            <w:r>
              <w:rPr>
                <w:sz w:val="16"/>
              </w:rPr>
              <w:t>-0.205 (-0.269–-0.157)</w:t>
            </w:r>
          </w:p>
        </w:tc>
        <w:tc>
          <w:tcPr>
            <w:tcW w:type="dxa" w:w="1949"/>
            <w:vAlign w:val="center"/>
          </w:tcPr>
          <w:p>
            <w:r>
              <w:rPr>
                <w:sz w:val="16"/>
              </w:rPr>
              <w:t>0.620 (0.560–0.673)</w:t>
            </w:r>
          </w:p>
        </w:tc>
        <w:tc>
          <w:tcPr>
            <w:tcW w:type="dxa" w:w="1949"/>
            <w:vAlign w:val="center"/>
          </w:tcPr>
          <w:p>
            <w:r>
              <w:rPr>
                <w:sz w:val="16"/>
              </w:rPr>
              <w:t>0.010 (-0.040–0.066)</w:t>
            </w:r>
          </w:p>
        </w:tc>
      </w:tr>
      <w:tr>
        <w:trPr>
          <w:cantSplit/>
        </w:trPr>
        <w:tc>
          <w:tcPr>
            <w:tcW w:type="dxa" w:w="1949"/>
            <w:vAlign w:val="center"/>
          </w:tcPr>
          <w:p>
            <w:r>
              <w:rPr>
                <w:sz w:val="16"/>
              </w:rPr>
              <w:t>BRCA–Proliferation</w:t>
            </w:r>
          </w:p>
        </w:tc>
        <w:tc>
          <w:tcPr>
            <w:tcW w:type="dxa" w:w="1949"/>
            <w:vAlign w:val="center"/>
          </w:tcPr>
          <w:p>
            <w:r>
              <w:rPr>
                <w:sz w:val="16"/>
              </w:rPr>
              <w:t>continuous</w:t>
            </w:r>
          </w:p>
        </w:tc>
        <w:tc>
          <w:tcPr>
            <w:tcW w:type="dxa" w:w="1949"/>
            <w:vAlign w:val="center"/>
          </w:tcPr>
          <w:p>
            <w:r>
              <w:rPr>
                <w:sz w:val="16"/>
              </w:rPr>
              <w:t>-0.239 (-0.279–-0.206)</w:t>
            </w:r>
          </w:p>
        </w:tc>
        <w:tc>
          <w:tcPr>
            <w:tcW w:type="dxa" w:w="1949"/>
            <w:vAlign w:val="center"/>
          </w:tcPr>
          <w:p>
            <w:r>
              <w:rPr>
                <w:sz w:val="16"/>
              </w:rPr>
              <w:t>0.704 (0.679–0.729)</w:t>
            </w:r>
          </w:p>
        </w:tc>
        <w:tc>
          <w:tcPr>
            <w:tcW w:type="dxa" w:w="1949"/>
            <w:vAlign w:val="center"/>
          </w:tcPr>
          <w:p>
            <w:r>
              <w:rPr>
                <w:sz w:val="16"/>
              </w:rPr>
              <w:t>0.012 (-0.014–0.040)</w:t>
            </w:r>
          </w:p>
        </w:tc>
      </w:tr>
      <w:tr>
        <w:trPr>
          <w:cantSplit/>
        </w:trPr>
        <w:tc>
          <w:tcPr>
            <w:tcW w:type="dxa" w:w="1949"/>
            <w:vAlign w:val="center"/>
          </w:tcPr>
          <w:p>
            <w:r>
              <w:rPr>
                <w:sz w:val="16"/>
              </w:rPr>
              <w:t>TGCT–Wound Healing</w:t>
            </w:r>
          </w:p>
        </w:tc>
        <w:tc>
          <w:tcPr>
            <w:tcW w:type="dxa" w:w="1949"/>
            <w:vAlign w:val="center"/>
          </w:tcPr>
          <w:p>
            <w:r>
              <w:rPr>
                <w:sz w:val="16"/>
              </w:rPr>
              <w:t>continuous</w:t>
            </w:r>
          </w:p>
        </w:tc>
        <w:tc>
          <w:tcPr>
            <w:tcW w:type="dxa" w:w="1949"/>
            <w:vAlign w:val="center"/>
          </w:tcPr>
          <w:p>
            <w:r>
              <w:rPr>
                <w:sz w:val="16"/>
              </w:rPr>
              <w:t>-0.368 (-0.553–-0.247)</w:t>
            </w:r>
          </w:p>
        </w:tc>
        <w:tc>
          <w:tcPr>
            <w:tcW w:type="dxa" w:w="1949"/>
            <w:vAlign w:val="center"/>
          </w:tcPr>
          <w:p>
            <w:r>
              <w:rPr>
                <w:sz w:val="16"/>
              </w:rPr>
              <w:t>0.227 (0.208–0.244)</w:t>
            </w:r>
          </w:p>
        </w:tc>
        <w:tc>
          <w:tcPr>
            <w:tcW w:type="dxa" w:w="1949"/>
            <w:vAlign w:val="center"/>
          </w:tcPr>
          <w:p>
            <w:r>
              <w:rPr>
                <w:sz w:val="16"/>
              </w:rPr>
              <w:t>0.008 (-0.062–0.080)</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Site and multiple-slide sensitivity</w:t>
      </w:r>
    </w:p>
    <w:p>
      <w:r>
        <w:t>Site-grouped validation was feasible for 323 screen-positive models. The median grouped-minus-random performance change was -0.026. The first-slide-minus-mean-pool median change across screen-positive models was -0.001.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A single-sample report renders continuous percentiles as a radar profile and displays binary calls with provenance and out-of-distribution diagnostics.</w:t>
      </w:r>
    </w:p>
    <w:p>
      <w:r>
        <w:t>COAD was chosen as a deployment illustration because colorectal cancer, of which colon adenocarcinoma is a major component, accounted for 1,926,425 new cases worldwide in 2022 [31], and COAD contributed 20 supported models (10 continuous and 10 binary). Its APC, TP53, KRAS and BRAF mutation models were absent from the prespecified exact-pair literature crosswalk, which nominates them for follow-up without establishing bibliographic novelty. For visualization, the two COAD patients with the greatest Euclidean separation across the complete continuous prediction-percentile profile were selected. Example A was MSI-, mutation-rate- and lymphocyte/TIL-high but aneuploidy-low, whereas example B was aneuploidy-high but MSI- and immune-low (Figure 7). This selection deliberately accentuates contrast and is an internal deployment demonstration, not a validation analysis or estimate of clinical prevalence.</w:t>
      </w:r>
    </w:p>
    <w:p>
      <w:pPr>
        <w:jc w:val="center"/>
      </w:pPr>
      <w:r>
        <w:drawing>
          <wp:inline xmlns:a="http://schemas.openxmlformats.org/drawingml/2006/main" xmlns:pic="http://schemas.openxmlformats.org/drawingml/2006/picture">
            <wp:extent cx="6126480" cy="3341716"/>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3341716"/>
                    </a:xfrm>
                    <a:prstGeom prst="rect"/>
                  </pic:spPr>
                </pic:pic>
              </a:graphicData>
            </a:graphic>
          </wp:inline>
        </w:drawing>
      </w:r>
    </w:p>
    <w:p>
      <w:pPr>
        <w:pStyle w:val="Caption"/>
        <w:jc w:val="center"/>
      </w:pPr>
      <w:r>
        <w:t>Figure 7. TITANPred deployment illustration in COAD. Panel A compares continuous prediction percentiles for the two TCGA patients with maximal separation across the complete COAD continuous profile; percentiles are relative to repeated out-of-fold TCGA predictions, not clinical reference ranges. Panel B shows the corresponding binary PLS-LDA calls and LDA-score percentiles; filled points denote positive calls, and scores are not calibrated probabilities. Examples were selected to demonstrate report contrast and do not provide external validation.</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mutation results divide into two evidence groups. 24 of the 41 within-cancer screen-positive cancer–gene pairs were exact pairs in the prespecified histology literature crosswalk and were recovered here: BLCA–FGFR3: prior AUROC 0.780, current balanced accuracy 0.729 (q=0.010); BRCA–CDH1: prior AUROC 0.810, current balanced accuracy 0.731 (q=0.007); BRCA–TP53: prior AUROC 0.768 [0.735–0.781], current balanced accuracy 0.744 (q=0.007); BRCA–TP53: prior AUROC &gt;0.611, current balanced accuracy 0.744 (q=0.007); LGG–IDH1: prior AUROC 0.764, current balanced accuracy 0.786 (q=0.002); LGG–TP53: prior AUROC 0.787, current balanced accuracy 0.846 (q=0.002); THCA–BRAF: prior AUROC 0.860, current balanced accuracy 0.830 (q=0.001); UCEC–PTEN: prior reported histopathological association, current balanced accuracy 0.726 (q=0.016); UCEC–PTEN: prior AUROC 0.773, current balanced accuracy 0.726 (q=0.016); UCEC–TP53: prior AUROC 0.764, current balanced accuracy 0.764 (q=0.016); BRCA–PIK3CA: prior AUROC 0.625 [0.605–0.659], current balanced accuracy 0.631 (q=0.007); BRCA–PIK3CA: prior AUROC &gt;0.611, current balanced accuracy 0.631 (q=0.007); CESC–TP53: prior AUROC 0.673 [0.628–0.749], current balanced accuracy 0.604 (q=0.024); HNSC–NSD1: prior AUROC 0.668 [0.597–0.737], current balanced accuracy 0.630 (q=0.009); HNSC–TP53: prior AUROC 0.699 [0.687–0.732], current balanced accuracy 0.636 (q=0.009); LIHC–CTNNB1: prior AUROC 0.682 [0.635–0.688], current balanced accuracy 0.668 (q=0.002); LIHC–TP53: prior reported histopathological association, current balanced accuracy 0.633 (q=0.002); LIHC–TP53: prior AUROC 0.606 [0.572–0.656], current balanced accuracy 0.633 (q=0.002); LIHC–TP53: prior AUROC 0.597, current balanced accuracy 0.633 (q=0.002); LUAD–EGFR: prior AUROC 0.733–0.856 across six reported genes, current balanced accuracy 0.617 (q=0.007); LUAD–EGFR: prior AUROC 0.624 [0.598–0.670], current balanced accuracy 0.617 (q=0.007); LUAD–TP53: prior AUROC 0.733–0.856 across six reported genes, current balanced accuracy 0.699 (q=0.007); LUAD–TP53: prior AUROC 0.720 [0.700–0.746], current balanced accuracy 0.699 (q=0.007); STAD–PIK3CA: prior AUROC 0.636 [0.581–0.662], current balanced accuracy 0.637 (q=0.009). Prior studies generally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0.744 (q=0.007); UCEC–TP53: prior AUROC 0.764, current balanced accuracy 0.764 (q=0.016); LIHC–CTNNB1: prior AUROC 0.682 [0.635–0.688], current balanced accuracy 0.668 (q=0.002); PAAD–KRAS: prior AUROC 0.670 [0.570–0.712], current balanced accuracy 0.588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S9 provides the report-level comparison and the complete machine-readable crosswalk preserves original evidence notes and URLs.</w:t>
      </w:r>
    </w:p>
    <w:p>
      <w:r>
        <w:t>The remaining 24 screen-positive mutation pairs were not present in the prespecified exact-pair crosswalk and are therefore atlas-nominated candidates rather than replications. Leading examples were THYM–GTF2I (balanced accuracy 0.883, q=0.001); READ–APC (balanced accuracy 0.862, q=0.002); READ–TP53 (balanced accuracy 0.861, q=0.002); COAD–APC (balanced accuracy 0.793, q=0.003); COAD–TP53 (balanced accuracy 0.779, q=0.003); LGG–CIC (balanced accuracy 0.779, q=0.002); LGG–ATRX (balanced accuracy 0.761, q=0.002); THCA–NRAS (balanced accuracy 0.703, q=0.001). Absence from this targeted crosswalk is not a claim that no publication has ever evaluated the pair; a systematic endpoint-level review would be required to establish bibliographic novelty. Supplementary Table S10 classifies every screen-positive mutation pair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COAD examples show how the package summarizes divergent multi-endpoint profiles; because the examples were selected for maximal separation within TCGA and were predicted by full-cohort fits, they must not be interpreted as new accuracy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The public TITANPred package applies all cancer-matched fitted PLS and PLS–LDA models without distributing patient-level training data, providing a practical route to independent external research validation.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public TITAN TCGA feature artifact (TCGA_TITAN_features.pkl) through its supplied 768-feature CSV export. TCGA molecular data and the cited public supplementary records remain available from their original repositories. Exact source locations, access information and SHA-256 checksums are recorded in the companion analysis repository [30].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w:t>
      </w:r>
    </w:p>
    <w:p>
      <w:r>
        <w:t>Additional file 1 (.docx): Supplementary material. Contains Supplementary Methods, Tables S1–S12, Figures S1–S2 and an inventory of the companion machine-readable result files.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