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atlas of molecular and immune predictability from frozen TITAN whole-slide embeddings across 32 cancers</w:t>
      </w:r>
    </w:p>
    <w:p>
      <w:pPr>
        <w:jc w:val="center"/>
      </w:pPr>
      <w:r>
        <w:rPr>
          <w:b/>
        </w:rPr>
        <w:t>Authors: Aamilah Ismail [author list to be confirmed]</w:t>
      </w:r>
    </w:p>
    <w:p>
      <w:pPr>
        <w:jc w:val="center"/>
      </w:pPr>
      <w:r>
        <w:t>Division of Engineering, New York University Abu Dhabi, Abu Dhabi, United Arab Emirates</w:t>
      </w:r>
    </w:p>
    <w:p>
      <w:pPr>
        <w:jc w:val="center"/>
      </w:pPr>
      <w:r>
        <w:t>Corresponding author: [to be completed]</w:t>
      </w:r>
    </w:p>
    <w:p>
      <w:pPr>
        <w:jc w:val="center"/>
      </w:pPr>
      <w:r>
        <w:t>Research article — Molecular Pathology | Journal of Translational Medicine</w:t>
      </w:r>
    </w:p>
    <w:p>
      <w:pPr>
        <w:pStyle w:val="Heading1"/>
      </w:pPr>
      <w:r>
        <w:t>Abstract</w:t>
      </w:r>
    </w:p>
    <w:p>
      <w:r>
        <w:rPr>
          <w:b/>
        </w:rPr>
        <w:t xml:space="preserve">Background. </w:t>
      </w:r>
      <w:r>
        <w:t>Histology can encode molecular and microenvironmental phenotypes, but conventional convolutional-neural-network workflows require repeated task-specific training. We evaluated whether reusable TITAN whole-slide embeddings enable rapid, cancer-specific screening of individual molecular, genomic-instability and immune endpoints.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up to 99 permutations with Benjamini–Hochberg control within cancer and endpoint family; a global-across-cancers q-value was retained as sensitivity. PLS2 was a secondary matched analysis of coherent inflammatory blocks.</w:t>
      </w:r>
    </w:p>
    <w:p>
      <w:r>
        <w:rPr>
          <w:b/>
        </w:rPr>
        <w:t xml:space="preserve">Results. </w:t>
      </w:r>
      <w:r>
        <w:t>Across all families, 152 continuous and 73 binary pairs met Tier A/B criteria. Leading continuous results included TGCT–TGF-beta Response (0.644); THYM–Th17 Cells (0.624); THCA–Lymphocyte Infiltration Signature Score (0.580); TGCT–Macrophage Regulation (0.556). Leading binary results included THYM–GTF2I (0.876); READ–APC (0.860); READ–TP53 (0.847); LGG–TP53 (0.830). Site-grouped and first-slide sensitivity quantified centre and slide-selection dependence. PLS2 effect magnitudes were evaluated at the cancer level rather than by endpoint win counts.</w:t>
      </w:r>
    </w:p>
    <w:p>
      <w:r>
        <w:rPr>
          <w:b/>
        </w:rPr>
        <w:t xml:space="preserve">Conclusions. </w:t>
      </w:r>
      <w:r>
        <w:t>Frozen TITAN features provide a fast hypothesis-generation layer for selected cancer-specific immune and molecular phenotypes, but predictability is heterogeneous and does not replace molecular assays. The internally validated models and negative results require independent external validation before clinical interpretation.</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trained an Inception-v3 convolutional neural network (CNN) to predict six recurrently mutated genes in lung adenocarcinoma, and subsequent pan-cancer studies expanded image-derived inference to mutations, molecular biomarkers and expression programmes [1–5]. These studies established biological plausibility, but their tile extraction, annotation and target-specific optimization make exhaustive updating expensive.</w:t>
      </w:r>
    </w:p>
    <w:p>
      <w:r>
        <w:t>TITAN is a multimodal whole-slide foundation model pretrained on 335,645 slides using visual self-supervision and vision–language alignment [6]. Its frozen 768-dimensional slide representation can be reused without back-propagation through millions of tiles. PLS is computationally light and well suited to correlated, high-dimensional predictors [7,8]. The advantage tested here is therefore speed and reuse after TITAN extraction—not an assumption that PLS is intrinsically more accurate than a task-optimized CNN.</w:t>
      </w:r>
    </w:p>
    <w:p>
      <w:r>
        <w:t>The primary question was cancer-specific: which individual mutations, inflammatory measurements, oncogenic pathways, MSI phenotypes, aneuploidy measures and fusions are predictable within each cancer? Molecular subtype association was not analysed. PLS1 versus PLS2 was secondary; PLS2 was considered most biologically plausible for correlated inflammatory panels, while PLS–LDA was preferred for individual binary molecular endpoints.</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The slide-report file was used only to audit identifiers, cancer provenance and resection site; no report text entered a model. Nine participants without a resolvable cancer label did not enter cancer-specific modelling. All molecular sources were independently restricted to TCGA sample type 01 before patient aggregation.</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pPr>
        <w:jc w:val="center"/>
      </w:pPr>
      <w:r>
        <w:drawing>
          <wp:inline xmlns:a="http://schemas.openxmlformats.org/drawingml/2006/main" xmlns:pic="http://schemas.openxmlformats.org/drawingml/2006/picture">
            <wp:extent cx="5806440" cy="302418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2418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frozen TITAN dimensions [6]. Continuous outcomes comprised 39 immune/inflammatory measures and 11 genomic-context scores from Thorsson et al. [9], three aneuploidy burdens from Taylor et al. [10], log-transformed fusion burden from Gao et al. [11], and MANTIS/MSIsensor scores from Bonneville et al. and the cBioPortal TCGA PanCancer Atlas files [12,13]. Binary outcomes comprised qualifying protein-altering PASS mutations in tissue-specific consensus cancer genes from MC3 and Bailey et al. [14,15], ten oncogenic-pathway alteration indicators [16], genome doubling [10], any called fusion and eligible recurrent fusion pairs [11], and MSI-H definitions at MANTIS &gt;0.4 and a strict &gt;0.6 sensitivity threshold [12]. A mutation target denotes a qualifying alteration in a cancer gene; it does not assert that every allele is a functionally validated driver.</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Continuous performance was out-of-fold Q², with RMSE and Spearman correlation secondary. Binary models supplied PLS latent scores to ridge-stabilised LDA; balanced accuracy was primary and AUROC from continuous LDA scores was secondary in repeated validation.</w:t>
      </w:r>
    </w:p>
    <w:p>
      <w:r>
        <w:t>Nested performance was first checkpointed for the complete atlas. Only models capable of Tier B (Q²≥0.20 or chance-corrected balanced accuracy≥0.20) received up to 99 patient-label permutations. Evaluation stopped conservatively after five exceedances because raw p&lt;0.05 was then impossible even if every remaining null statistic were less extreme; stopped endpoints were assigned p=1. Regression extremeness used lower RMSD, whereas classification used higher balanced accuracy. Completed finite p values were (b+1)/(B+1). Because each disease defines a separate prediction and intended-use population, Benjamini–Hochberg FDR was controlled within cancer and prespecified endpoint family; an across-cancer family q-value was retained as a stricter sensitivity. Tier A required primary q&lt;0.05 and effect≥0.40; Tier B required primary q&lt;0.05 and effect 0.20–0.39. An optional 999-permutation extension is implemented in the public code but was not required for primary tiering.</w:t>
      </w:r>
    </w:p>
    <w:p>
      <w:pPr>
        <w:pStyle w:val="Heading2"/>
      </w:pPr>
      <w:r>
        <w:t>Robustness, saved models and PLS2 sensitivity</w:t>
      </w:r>
    </w:p>
    <w:p>
      <w:r>
        <w:t>Supported models were repeated under five independently seeded nested-CV partitions. Site-grouped folds kept two-character TCGA tissue-source-site codes out of both training and test partitions. A first-slide sensitivity replaced the primary mean-pooled vector while preserving patients and seeds. Full-data research models were tuned by ten-fold CV, saved with feature order, aggregation rule, class counts, software version and intended-use metadata, and tested through a public inference example that mean-pools user slides.</w:t>
      </w:r>
    </w:p>
    <w:p>
      <w:r>
        <w:t>The secondary PLS2 analysis jointly modelled three prespecified inflammatory blocks: infiltration/signatures, immune repertoire and inferred immune-cell fractions. PLS1 and PLS2 used identical complete-case patients and outer folds, training-fold outcome scaling, separately selected component counts and three independent nested-CV repeats. Changes in Q² were aggregated by cancer with cancer-bootstrap intervals; endpoint win counts were not treated as inferential evidence.</w:t>
      </w:r>
    </w:p>
    <w:p>
      <w:pPr>
        <w:pStyle w:val="Heading2"/>
      </w:pPr>
      <w:r>
        <w:t>Software, transparency and validation status</w:t>
      </w:r>
    </w:p>
    <w:p>
      <w:r>
        <w:t>Analyses used R 4.6 and fastPLS 0.99.20 (Git commit dcf45cc). Complete code, source manifests, target catalogues, checkpoints, out-of-fold predictions, figures, model registry and inference example are organized at [repository URL pending publication]. Fitted TITAN-derived model objects are generated locally; their public redistribution remains subject to TITAN's upstream terms. No external cohort with compatible precomputed TITAN features and the required multi-omic labels was identified, so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Cancer labels were available for 9,395 patients across 32 cancers. The atlas evaluated 1,614 continuous and 459 binary cancer–endpoint pairs (Table 1).</w:t>
      </w:r>
    </w:p>
    <w:p>
      <w:pPr>
        <w:pStyle w:val="Caption"/>
      </w:pPr>
      <w:r>
        <w:t>Table 1. Eligible cancer–endpoint models and evidence tiers.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Tier A</w:t>
            </w:r>
          </w:p>
        </w:tc>
        <w:tc>
          <w:tcPr>
            <w:tcW w:type="dxa" w:w="850"/>
          </w:tcPr>
          <w:p>
            <w:r>
              <w:rPr>
                <w:b/>
                <w:sz w:val="17"/>
              </w:rPr>
              <w:t>Tier B</w:t>
            </w:r>
          </w:p>
        </w:tc>
        <w:tc>
          <w:tcPr>
            <w:tcW w:type="dxa" w:w="850"/>
          </w:tcPr>
          <w:p>
            <w:r>
              <w:rPr>
                <w:b/>
                <w:sz w:val="17"/>
              </w:rPr>
              <w:t>Tier C</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8</w:t>
            </w:r>
          </w:p>
        </w:tc>
        <w:tc>
          <w:tcPr>
            <w:tcW w:type="dxa" w:w="850"/>
            <w:vAlign w:val="center"/>
          </w:tcPr>
          <w:p>
            <w:r>
              <w:rPr>
                <w:sz w:val="16"/>
              </w:rPr>
              <w:t>82</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12</w:t>
            </w:r>
          </w:p>
        </w:tc>
        <w:tc>
          <w:tcPr>
            <w:tcW w:type="dxa" w:w="850"/>
            <w:vAlign w:val="center"/>
          </w:tcPr>
          <w:p>
            <w:r>
              <w:rPr>
                <w:sz w:val="16"/>
              </w:rPr>
              <w:t>4</w:t>
            </w:r>
          </w:p>
        </w:tc>
        <w:tc>
          <w:tcPr>
            <w:tcW w:type="dxa" w:w="850"/>
            <w:vAlign w:val="center"/>
          </w:tcPr>
          <w:p>
            <w:r>
              <w:rPr>
                <w:sz w:val="16"/>
              </w:rPr>
              <w:t>222</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6</w:t>
            </w:r>
          </w:p>
        </w:tc>
        <w:tc>
          <w:tcPr>
            <w:tcW w:type="dxa" w:w="850"/>
            <w:vAlign w:val="center"/>
          </w:tcPr>
          <w:p>
            <w:r>
              <w:rPr>
                <w:sz w:val="16"/>
              </w:rPr>
              <w:t>24</w:t>
            </w:r>
          </w:p>
        </w:tc>
        <w:tc>
          <w:tcPr>
            <w:tcW w:type="dxa" w:w="850"/>
            <w:vAlign w:val="center"/>
          </w:tcPr>
          <w:p>
            <w:r>
              <w:rPr>
                <w:sz w:val="16"/>
              </w:rPr>
              <w:t>136</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36</w:t>
            </w:r>
          </w:p>
        </w:tc>
        <w:tc>
          <w:tcPr>
            <w:tcW w:type="dxa" w:w="850"/>
            <w:vAlign w:val="center"/>
          </w:tcPr>
          <w:p>
            <w:r>
              <w:rPr>
                <w:sz w:val="16"/>
              </w:rPr>
              <w:t>103</w:t>
            </w:r>
          </w:p>
        </w:tc>
        <w:tc>
          <w:tcPr>
            <w:tcW w:type="dxa" w:w="850"/>
            <w:vAlign w:val="center"/>
          </w:tcPr>
          <w:p>
            <w:r>
              <w:rPr>
                <w:sz w:val="16"/>
              </w:rPr>
              <w:t>1295</w:t>
            </w:r>
          </w:p>
        </w:tc>
      </w:tr>
    </w:tbl>
    <w:p/>
    <w:p>
      <w:pPr>
        <w:pStyle w:val="Heading2"/>
      </w:pPr>
      <w:r>
        <w:t>Continuous immune, genomic-context and instability phenotypes</w:t>
      </w:r>
    </w:p>
    <w:p>
      <w:r>
        <w:t>Among continuous targets, 36 were Tier A and 116 Tier B. The strongest effects were TGCT–TGF-beta Response (0.644); THYM–Th17 Cells (0.624); THCA–Lymphocyte Infiltration Signature Score (0.580); TGCT–Macrophage Regulation (0.556); BRCA–Wound Healing (0.528); SARC–Leukocyte Fraction (0.524); THCA–TGF-beta Response (0.524); TGCT–Macrophages M2 (0.517); LUAD–Proliferation (0.513); SARC–Macrophage Regulation (0.509). These results were cancer specific: the same endpoint could be strongly predictable in one tumour type and unsupported in another.</w:t>
      </w:r>
    </w:p>
    <w:p>
      <w:r>
        <w:t>None of the 152 primary continuous Tier-A/B pairs met q&lt;0.05 under the stricter across-cancer family sensitivity at the 99-permutation resolution. Continuous findings should therefore be interpreted as disease-specific screens rather than globally FDR-supported pan-cancer discoveries.</w:t>
      </w:r>
    </w:p>
    <w:p>
      <w:pPr>
        <w:jc w:val="center"/>
      </w:pPr>
      <w:r>
        <w:drawing>
          <wp:inline xmlns:a="http://schemas.openxmlformats.org/drawingml/2006/main" xmlns:pic="http://schemas.openxmlformats.org/drawingml/2006/picture">
            <wp:extent cx="5806440" cy="5364646"/>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5364646"/>
                    </a:xfrm>
                    <a:prstGeom prst="rect"/>
                  </pic:spPr>
                </pic:pic>
              </a:graphicData>
            </a:graphic>
          </wp:inline>
        </w:drawing>
      </w:r>
    </w:p>
    <w:p>
      <w:pPr>
        <w:pStyle w:val="Caption"/>
        <w:jc w:val="center"/>
      </w:pPr>
      <w:r>
        <w:t>Figure 2. Strongest supported continuous cancer–endpoint results. Q² is calculated from genuine patient-level outer-fold predictions; all tests remain available in the machine-readable atlas.</w:t>
      </w:r>
    </w:p>
    <w:p>
      <w:pPr>
        <w:pStyle w:val="Heading2"/>
      </w:pPr>
      <w:r>
        <w:t>Binary molecular phenotypes</w:t>
      </w:r>
    </w:p>
    <w:p>
      <w:r>
        <w:t>The binary atlas yielded 24 Tier-A and 49 Tier-B pairs. Leading results were THYM–GTF2I (0.876); READ–APC (0.860); READ–TP53 (0.847); LGG–TP53 (0.830); THCA–BRAF (0.828); LGG–TP53 (0.822); LGG–HIPPO (0.811); COAD–APC (0.792); UCEC–Any called fusion (0.792); COAD–MSI-H strict (MANTIS &gt;0.6) (0.784); LGG–ATRX (0.784); COAD–TP53 (0.777). The complete table includes tested-negative and ineligible distinctions for mutations, pathways, genome doubling, MSI and fusions.</w:t>
      </w:r>
    </w:p>
    <w:p>
      <w:r>
        <w:t>Of 73 primary binary Tier-A/B pairs, 56 also met the stricter across-cancer family q&lt;0.05. No cancer–gene mutation pair passed that global sensitivity, whereas supported pathway, MSI and fusion signals generally did; mutation results are consequently described as cancer-screen-specific findings.</w:t>
      </w:r>
    </w:p>
    <w:p>
      <w:pPr>
        <w:jc w:val="center"/>
      </w:pPr>
      <w:r>
        <w:drawing>
          <wp:inline xmlns:a="http://schemas.openxmlformats.org/drawingml/2006/main" xmlns:pic="http://schemas.openxmlformats.org/drawingml/2006/picture">
            <wp:extent cx="5806440" cy="608293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6082937"/>
                    </a:xfrm>
                    <a:prstGeom prst="rect"/>
                  </pic:spPr>
                </pic:pic>
              </a:graphicData>
            </a:graphic>
          </wp:inline>
        </w:drawing>
      </w:r>
    </w:p>
    <w:p>
      <w:pPr>
        <w:pStyle w:val="Caption"/>
        <w:jc w:val="center"/>
      </w:pPr>
      <w:r>
        <w:t>Figure 3. Strongest supported binary molecular predictions using PLS latent scores and LDA. Point size represents the number of positive patients.</w:t>
      </w:r>
    </w:p>
    <w:p>
      <w:pPr>
        <w:jc w:val="center"/>
      </w:pPr>
      <w:r>
        <w:drawing>
          <wp:inline xmlns:a="http://schemas.openxmlformats.org/drawingml/2006/main" xmlns:pic="http://schemas.openxmlformats.org/drawingml/2006/picture">
            <wp:extent cx="5806440" cy="4589853"/>
            <wp:docPr id="4" name="Picture 4"/>
            <wp:cNvGraphicFramePr>
              <a:graphicFrameLocks noChangeAspect="1"/>
            </wp:cNvGraphicFramePr>
            <a:graphic>
              <a:graphicData uri="http://schemas.openxmlformats.org/drawingml/2006/picture">
                <pic:pic>
                  <pic:nvPicPr>
                    <pic:cNvPr id="0" name="Figure4_supported_counts.png"/>
                    <pic:cNvPicPr/>
                  </pic:nvPicPr>
                  <pic:blipFill>
                    <a:blip r:embed="rId14"/>
                    <a:stretch>
                      <a:fillRect/>
                    </a:stretch>
                  </pic:blipFill>
                  <pic:spPr>
                    <a:xfrm>
                      <a:off x="0" y="0"/>
                      <a:ext cx="5806440" cy="4589853"/>
                    </a:xfrm>
                    <a:prstGeom prst="rect"/>
                  </pic:spPr>
                </pic:pic>
              </a:graphicData>
            </a:graphic>
          </wp:inline>
        </w:drawing>
      </w:r>
    </w:p>
    <w:p>
      <w:pPr>
        <w:pStyle w:val="Caption"/>
        <w:jc w:val="center"/>
      </w:pPr>
      <w:r>
        <w:t>Figure 4. Number and family of Tier-A/B prediction targets within each cancer. Absence of an eligible target is distinct from a tested negative result.</w:t>
      </w:r>
    </w:p>
    <w:p>
      <w:pPr>
        <w:pStyle w:val="Heading2"/>
      </w:pPr>
      <w:r>
        <w:t>Site and multiple-slide sensitivity</w:t>
      </w:r>
    </w:p>
    <w:p>
      <w:r>
        <w:t>Site-grouped validation was feasible for 225 supported models. The median grouped-minus-random performance change was -0.026. The first-slide-minus-mean-pool median change across supported models was -0.002.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35478"/>
            <wp:docPr id="5" name="Picture 5"/>
            <wp:cNvGraphicFramePr>
              <a:graphicFrameLocks noChangeAspect="1"/>
            </wp:cNvGraphicFramePr>
            <a:graphic>
              <a:graphicData uri="http://schemas.openxmlformats.org/drawingml/2006/picture">
                <pic:pic>
                  <pic:nvPicPr>
                    <pic:cNvPr id="0" name="Figure5_site_grouped_sensitivity.png"/>
                    <pic:cNvPicPr/>
                  </pic:nvPicPr>
                  <pic:blipFill>
                    <a:blip r:embed="rId15"/>
                    <a:stretch>
                      <a:fillRect/>
                    </a:stretch>
                  </pic:blipFill>
                  <pic:spPr>
                    <a:xfrm>
                      <a:off x="0" y="0"/>
                      <a:ext cx="5806440" cy="3135478"/>
                    </a:xfrm>
                    <a:prstGeom prst="rect"/>
                  </pic:spPr>
                </pic:pic>
              </a:graphicData>
            </a:graphic>
          </wp:inline>
        </w:drawing>
      </w:r>
    </w:p>
    <w:p>
      <w:pPr>
        <w:pStyle w:val="Caption"/>
        <w:jc w:val="center"/>
      </w:pPr>
      <w:r>
        <w:t>Figure 5. Random-fold versus tissue-source-site-grouped internal validation. Values below the diagonal indicate attenuation when submitting sites are separated.</w:t>
      </w:r>
    </w:p>
    <w:p>
      <w:pPr>
        <w:pStyle w:val="Heading2"/>
      </w:pPr>
      <w:r>
        <w:t>Secondary PLS1–PLS2 comparison</w:t>
      </w:r>
    </w:p>
    <w:p>
      <w:r>
        <w:t>inferred cell fractions: mean cancer-level ΔQ² 0.067 (95% interval 0.040 to 0.096); infiltration signatures: mean cancer-level ΔQ² 0.018 (95% interval 0.011 to 0.028); immune repertoire: mean cancer-level ΔQ² 0.058 (95% interval 0.040 to 0.079). These effect magnitudes, not the number of endpoints won, determine interpretation.</w:t>
      </w:r>
    </w:p>
    <w:p>
      <w:pPr>
        <w:jc w:val="center"/>
      </w:pPr>
      <w:r>
        <w:drawing>
          <wp:inline xmlns:a="http://schemas.openxmlformats.org/drawingml/2006/main" xmlns:pic="http://schemas.openxmlformats.org/drawingml/2006/picture">
            <wp:extent cx="5806440" cy="5150874"/>
            <wp:docPr id="6" name="Picture 6"/>
            <wp:cNvGraphicFramePr>
              <a:graphicFrameLocks noChangeAspect="1"/>
            </wp:cNvGraphicFramePr>
            <a:graphic>
              <a:graphicData uri="http://schemas.openxmlformats.org/drawingml/2006/picture">
                <pic:pic>
                  <pic:nvPicPr>
                    <pic:cNvPr id="0" name="Figure6a_pls1_vs_pls2_targets.png"/>
                    <pic:cNvPicPr/>
                  </pic:nvPicPr>
                  <pic:blipFill>
                    <a:blip r:embed="rId16"/>
                    <a:stretch>
                      <a:fillRect/>
                    </a:stretch>
                  </pic:blipFill>
                  <pic:spPr>
                    <a:xfrm>
                      <a:off x="0" y="0"/>
                      <a:ext cx="5806440" cy="5150874"/>
                    </a:xfrm>
                    <a:prstGeom prst="rect"/>
                  </pic:spPr>
                </pic:pic>
              </a:graphicData>
            </a:graphic>
          </wp:inline>
        </w:drawing>
      </w:r>
    </w:p>
    <w:p>
      <w:pPr>
        <w:pStyle w:val="Caption"/>
        <w:jc w:val="center"/>
      </w:pPr>
      <w:r>
        <w:t>Figure 6a. Matched target-level PLS1 and PLS2 Q² on identical held-out patients.</w:t>
      </w:r>
    </w:p>
    <w:p>
      <w:pPr>
        <w:jc w:val="center"/>
      </w:pPr>
      <w:r>
        <w:drawing>
          <wp:inline xmlns:a="http://schemas.openxmlformats.org/drawingml/2006/main" xmlns:pic="http://schemas.openxmlformats.org/drawingml/2006/picture">
            <wp:extent cx="5806440" cy="5806440"/>
            <wp:docPr id="7" name="Picture 7"/>
            <wp:cNvGraphicFramePr>
              <a:graphicFrameLocks noChangeAspect="1"/>
            </wp:cNvGraphicFramePr>
            <a:graphic>
              <a:graphicData uri="http://schemas.openxmlformats.org/drawingml/2006/picture">
                <pic:pic>
                  <pic:nvPicPr>
                    <pic:cNvPr id="0" name="Figure6b_pls1_vs_pls2_cancers.png"/>
                    <pic:cNvPicPr/>
                  </pic:nvPicPr>
                  <pic:blipFill>
                    <a:blip r:embed="rId17"/>
                    <a:stretch>
                      <a:fillRect/>
                    </a:stretch>
                  </pic:blipFill>
                  <pic:spPr>
                    <a:xfrm>
                      <a:off x="0" y="0"/>
                      <a:ext cx="5806440" cy="5806440"/>
                    </a:xfrm>
                    <a:prstGeom prst="rect"/>
                  </pic:spPr>
                </pic:pic>
              </a:graphicData>
            </a:graphic>
          </wp:inline>
        </w:drawing>
      </w:r>
    </w:p>
    <w:p>
      <w:pPr>
        <w:pStyle w:val="Caption"/>
        <w:jc w:val="center"/>
      </w:pPr>
      <w:r>
        <w:t>Figure 6b. Cancer-level mean Q² change for joint PLS2 relative to response-by-response PLS1.</w:t>
      </w:r>
    </w:p>
    <w:p>
      <w:pPr>
        <w:pStyle w:val="Heading1"/>
      </w:pPr>
      <w:r>
        <w:t>Discussion</w:t>
      </w:r>
    </w:p>
    <w:p>
      <w:r>
        <w:t>This study answers a target-by-target, cancer-specific question rather than asking whether molecular subtype and mutation status are associated. Frozen TITAN features contain useful signal for selected immune programmes, mutations and higher-level genomic phenotypes, but most eligible pairs do not satisfy both multiplicity and effect thresholds. That heterogeneity—and transparent negative reporting—is the primary result.</w:t>
      </w:r>
    </w:p>
    <w:p>
      <w:r>
        <w:t>Prior CNN studies recovered histological signal for multiple exact cancer–gene pairs [1–5]. In the prespecified crosswalk, not eligible or not tested: 25, recovered tier A: 3, tested not supported: 32. Recovered and unrecovered pairs are listed in Supplementary Table S4; original study metrics, evidence notes and URLs are retained in the machine-readable crosswalk. Current balanced accuracy cannot be numerically equated to prior AUROC, and disagreement may reflect primary-versus-metastatic sampling, frozen versus FFPE preparation, mutation definition, model class or validation design.</w:t>
      </w:r>
    </w:p>
    <w:p>
      <w:r>
        <w:t>The practical advantage of TITAN plus PLS is rapid reuse. Once slide embeddings exist, hundreds of new outcomes can be screened without retraining a CNN encoder. This is useful for discovery and triage, particularly when new genomic annotations become available. It does not eliminate the one-time TITAN extraction cost and is not a hardware-matched claim of superior accuracy.</w:t>
      </w:r>
    </w:p>
    <w:p>
      <w:r>
        <w:t>Joint PLS2 is most compelling when responses are correlated and measured on the same patients. Its inflammatory benefit must nevertheless be judged by ΔQ² and its cancer-level interval. Binary mutations and fusions are sparse and only partially correlated, so a shared response space can dilute target-specific signal; separate PLS–LDA therefore remains the primary binary strategy.</w:t>
      </w:r>
    </w:p>
    <w:p>
      <w:r>
        <w:t>Strengths include primary-tumour matching across every data source, deterministic mean pooling of multiple slides, nested patient-level validation, family-wise FDR,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TITAN used report alignment during pretraining, predictability does not establish biological causality, and image-derived predictions cannot justify omitting a molecular assay. External feature extraction and prospective evaluation are required before clinical use.</w:t>
      </w:r>
    </w:p>
    <w:p>
      <w:pPr>
        <w:pStyle w:val="Heading1"/>
      </w:pPr>
      <w:r>
        <w:t>Conclusions</w:t>
      </w:r>
    </w:p>
    <w:p>
      <w:r>
        <w:t>Mean-pooled, frozen TITAN embeddings enable a rapid cancer-specific atlas of selected immune, mutation, pathway, MSI, aneuploidy and fusion phenotypes. PLS2 is a secondary option for correlated inflammatory panels; individual PLS–LDA remains the clearer default for binary molecular targets. The resource prioritises hypotheses and exposes unsupported targets, but remains internally validated and non-clinical.</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Availability of data and materials</w:t>
      </w:r>
    </w:p>
    <w:p>
      <w:r>
        <w:t>Source locations and checksums are recorded in the repository: [repository URL pending publication]. TCGA data are available from the Genomic Data Commons; TITAN resources are available from MahmoodLab. Model-object redistribution is subject to TITAN's upstream terms.</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References</w:t>
      </w:r>
    </w:p>
    <w:p>
      <w:r>
        <w:t>1. Coudray N, et al. Classification and mutation prediction from non-small cell lung cancer histopathology images using deep learning. Nat Med. 2018;24:1559–1567. doi:10.1038/s41591-018-0177-5.</w:t>
      </w:r>
    </w:p>
    <w:p>
      <w:r>
        <w:t>2. Fu Y, et al. Pan-cancer computational histopathology reveals mutations, tumor composition and prognosis. Nat Cancer. 2020;1:800–810. doi:10.1038/s43018-020-0085-8.</w:t>
      </w:r>
    </w:p>
    <w:p>
      <w:r>
        <w:t>3. Kather JN, et al. Pan-cancer image-based detection of clinically actionable genetic alterations. Nat Cancer. 2020;1:789–799. doi:10.1038/s43018-020-0087-6.</w:t>
      </w:r>
    </w:p>
    <w:p>
      <w:r>
        <w:t>4. Schmauch B, et al. A deep learning model to predict RNA-Seq expression of tumours from whole slide images. Nat Commun. 2020;11:3877. doi:10.1038/s41467-020-17678-4.</w:t>
      </w:r>
    </w:p>
    <w:p>
      <w:r>
        <w:t>5. Loeffler CML, et al. Predicting mutational status of driver and suppressor genes directly from histopathology with deep learning. Front Genet. 2022;12:806386. doi:10.3389/fgene.2021.806386.</w:t>
      </w:r>
    </w:p>
    <w:p>
      <w:r>
        <w:t>6. Ding T, et al. A multimodal whole-slide foundation model for pathology. Nat Med. 2025;31:3749–3761. doi:10.1038/s41591-025-03982-3.</w:t>
      </w:r>
    </w:p>
    <w:p>
      <w:r>
        <w:t>7. Wold S, Sjöström M, Eriksson L. PLS-regression: a basic tool of chemometrics. Chemometr Intell Lab Syst. 2001;58:109–130. doi:10.1016/S0169-7439(01)00155-1.</w:t>
      </w:r>
    </w:p>
    <w:p>
      <w:r>
        <w:t>8. Szymańska E, et al. Double-check: validation of diagnostic statistics for PLS-DA models. Metabolomics. 2012;8(Suppl 1):3–16. doi:10.1007/s11306-011-0330-3.</w:t>
      </w:r>
    </w:p>
    <w:p>
      <w:r>
        <w:t>9. Thorsson V, et al. The Immune Landscape of Cancer. Immunity. 2018;48:812–830.e14. doi:10.1016/j.immuni.2018.03.023.</w:t>
      </w:r>
    </w:p>
    <w:p>
      <w:r>
        <w:t>10. Taylor AM, et al. Genomic and functional approaches to understanding cancer aneuploidy. Cancer Cell. 2018;33:676–689.e3. doi:10.1016/j.ccell.2018.03.007.</w:t>
      </w:r>
    </w:p>
    <w:p>
      <w:r>
        <w:t>11. Gao Q, et al. Driver fusions and their implications in the development and treatment of human cancers. Cell Rep. 2018;23:227–238.e3. doi:10.1016/j.celrep.2018.03.050.</w:t>
      </w:r>
    </w:p>
    <w:p>
      <w:r>
        <w:t>12. Bonneville R, et al. Landscape of microsatellite instability across 39 cancer types. JCO Precis Oncol. 2017;2017:PO.17.00073. doi:10.1200/PO.17.00073.</w:t>
      </w:r>
    </w:p>
    <w:p>
      <w:r>
        <w:t>13. Cerami E, et al. The cBio cancer genomics portal. Cancer Discov. 2012;2:401–404. doi:10.1158/2159-8290.CD-12-0095.</w:t>
      </w:r>
    </w:p>
    <w:p>
      <w:r>
        <w:t>14. Ellrott K, et al. Scalable open science approach for mutation calling of tumor exomes. Cell Syst. 2018;6:271–281.e7. doi:10.1016/j.cels.2018.03.002.</w:t>
      </w:r>
    </w:p>
    <w:p>
      <w:r>
        <w:t>15. Bailey MH, et al. Comprehensive characterization of cancer driver genes and mutations. Cell. 2018;173:371–385.e18. doi:10.1016/j.cell.2018.02.060.</w:t>
      </w:r>
    </w:p>
    <w:p>
      <w:r>
        <w:t>16. Sanchez-Vega F, et al. Oncogenic signaling pathways in The Cancer Genome Atlas. Cell. 2018;173:321–337.e10. doi:10.1016/j.cell.2018.03.035.</w:t>
      </w:r>
    </w:p>
    <w:p>
      <w:r>
        <w:t>17. Benjamini Y, Hochberg Y. Controlling the false discovery rate. J R Stat Soc B. 1995;57:289–300. doi:10.1111/j.2517-6161.1995.tb02031.x.</w:t>
      </w:r>
    </w:p>
    <w:p>
      <w:r>
        <w:t>18. Collins GS, et al. TRIPOD+AI statement. BMJ. 2024;385:e078378. doi:10.1136/bmj-2023-078378.</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TITAN molecular and immune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