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atlas of molecular and immune predictability from frozen TITAN whole-slide embeddings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2. Site robustness is incomplete for the inflammatory atlas</w:t>
      </w:r>
    </w:p>
    <w:p>
      <w:r>
        <w:t>Addressed. Tissue-source-site-grouped validation is now attempted for every supported continuous and binary endpoint, not only mutations. It was feasible for 225 models. Figure 5 and the complete machine-readable tables report target-level attenuation; the manuscript does not claim that repeated random folds exclude site confounding.</w:t>
      </w:r>
    </w:p>
    <w:p>
      <w:pPr>
        <w:pStyle w:val="Heading1"/>
      </w:pPr>
      <w:r>
        <w:t>3. Reproducibility materials must be deposited before submission</w:t>
      </w:r>
    </w:p>
    <w:p>
      <w:r>
        <w:t>Prepared, with final publication pending. The organized repository ([repository URL pending publication]) contains the exact analysis plan, source URLs/checksums, software commit, eligibility tables, code for every analysis and figure, out-of-fold prediction outputs, model registry, inference example and literature crosswalk. GitHub authentication and an archived release/DOI must be completed by the corresponding author before submission; we do not claim this item is fully addressed until the persistent public record exists.</w:t>
      </w:r>
    </w:p>
    <w:p>
      <w:pPr>
        <w:pStyle w:val="Heading1"/>
      </w:pPr>
      <w:r>
        <w:t>4.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5. Preserve effect-size-first interpretation of PLS2</w:t>
      </w:r>
    </w:p>
    <w:p>
      <w:r>
        <w:t>Addressed. PLS2 is restricted to coherent inflammatory blocks as a secondary analysis. PLS1 and PLS2 use identical patients and folds, and interpretation is based on cancer-level ΔQ² with bootstrap intervals rather than win counts. Binary molecular endpoints retain one-at-a-time PLS–LDA as the primary analysis.</w:t>
      </w:r>
    </w:p>
    <w:p>
      <w:pPr>
        <w:pStyle w:val="Heading1"/>
      </w:pPr>
      <w:r>
        <w:t>6. Complete submission-specific fields</w:t>
      </w:r>
    </w:p>
    <w:p>
      <w:r>
        <w:t>Partly outstanding. Corresponding-author details, final author list, funding, competing interests and contribution statements require author confirmation and remain visibly marked. No scientific values are placeholder text.</w:t>
      </w:r>
    </w:p>
    <w:p>
      <w:pPr>
        <w:pStyle w:val="Heading1"/>
      </w:pPr>
      <w:r>
        <w:t>7. Presentation and runtime claims</w:t>
      </w:r>
    </w:p>
    <w:p>
      <w:r>
        <w:t>Addressed. High-resolution figures and machine-readable tables accompany the Word documents. The text states that speed applies after TITAN embeddings have been computed and does not claim a hardware-matched accuracy or runtime comparison with CNN pipelines.</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