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r>
        <w:t>A patient-level atlas of molecular and immune predictability from frozen TITAN whole-slide embeddings across 32 cancers</w:t>
      </w:r>
    </w:p>
    <w:p>
      <w:pPr>
        <w:pStyle w:val="Heading1"/>
      </w:pPr>
      <w:r>
        <w:t>Supplementary Methods</w:t>
      </w:r>
    </w:p>
    <w:p>
      <w:r>
        <w:t>The executable analysis plan, source manifest, eligibility catalogues, checkpoints and out-of-fold predictions are available in the companion repository. Tables below are concise views; complete machine-readable CSV files are authoritative.</w:t>
      </w:r>
    </w:p>
    <w:p>
      <w:pPr>
        <w:pStyle w:val="Heading1"/>
      </w:pPr>
      <w:r>
        <w:t>Table S1. Analysis coverage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rPr>
          <w:tblHeader w:val="true"/>
          <w:cantSplit/>
        </w:trPr>
        <w:tc>
          <w:tcPr>
            <w:tcW w:type="dxa" w:w="1392"/>
          </w:tcPr>
          <w:p>
            <w:r>
              <w:rPr>
                <w:b/>
                <w:sz w:val="17"/>
              </w:rPr>
              <w:t>Family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</w:rPr>
              <w:t>Type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</w:rPr>
              <w:t>Tests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</w:rPr>
              <w:t>Cancers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</w:rPr>
              <w:t>Tier A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</w:rPr>
              <w:t>Tier B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</w:rPr>
              <w:t>Tier C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aneuploidy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continuous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90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82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aneuploidy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binary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cancer-gene mutation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binary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222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fusion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continuous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27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fusion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binary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19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MSI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continuous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58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MSI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binary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strict MSI sensitivity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binary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oncogenic pathway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binary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166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136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 immune/genomic-context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continuous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1434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103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1295</w:t>
            </w:r>
          </w:p>
        </w:tc>
      </w:tr>
    </w:tbl>
    <w:p/>
    <w:p>
      <w:pPr>
        <w:pStyle w:val="Heading1"/>
      </w:pPr>
      <w:r>
        <w:t>Table S2. Top continuous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rPr>
          <w:tblHeader w:val="true"/>
          <w:cantSplit/>
        </w:trPr>
        <w:tc>
          <w:tcPr>
            <w:tcW w:type="dxa" w:w="1392"/>
          </w:tcPr>
          <w:p>
            <w:r>
              <w:rPr>
                <w:b/>
                <w:sz w:val="17"/>
              </w:rPr>
              <w:t>Cancer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</w:rPr>
              <w:t>Endpoint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</w:rPr>
              <w:t>Family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</w:rPr>
              <w:t>Q²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</w:rPr>
              <w:t>q</w:t>
            </w:r>
          </w:p>
        </w:tc>
        <w:tc>
          <w:tcPr>
            <w:tcW w:type="dxa" w:w="1392"/>
          </w:tcPr>
          <w:p>
            <w:r>
              <w:rPr>
                <w:b/>
                <w:sz w:val="17"/>
              </w:rPr>
              <w:t>Tier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TGCT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TGF-beta Response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148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0.644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THYM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Th17 Cells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0.624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0.027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Lymphocyte Infiltration Signature Score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498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0.580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TGCT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Macrophage Regulation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148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0.556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Wound Healing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1039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SARC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Leukocyte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250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TGF-beta Response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498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TGCT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Macrophages M2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148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0.517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LUAD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Proliferation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410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0.513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SARC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Macrophage Regulation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218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0.509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Proliferation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1039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0.506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Macrophage Regulation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498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0.505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BLCA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TIL Regional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297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0.494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Th1 Cells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498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0.492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TGCT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Wound Healing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148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0.492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SARC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Lymphocyte Infiltration Signature Score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218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0.486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Proliferation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334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0.485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THYM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TGF-beta Response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0.475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0.027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THYM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Proliferation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0.474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0.027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THYM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TCR Shannon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0.471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0.027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THYM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Lymphocyte Infiltration Signature Score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0.459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0.027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Number of Segments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484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0.456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Homologous Recombination Defects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477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0.453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LIHC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Proliferation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352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TCR Shannon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458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TGCT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Leukocyte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132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0.439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LIHC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Leukocyte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363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0.426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Lymphocyte Infiltration Signature Score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1039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0.423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LUAD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TIL Regional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460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0.420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TIL Regional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942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0.416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TGCT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Lymphocyte Infiltration Signature Score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148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Leukocyte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1026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BLCA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Macrophage Regulation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373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0.413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TGCT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Stromal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148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0.403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LIHC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Macrophage Regulation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352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0.402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LUAD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Leukocyte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460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0.401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TIL Regional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446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0.389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LIHC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Wound Healing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352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0.386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LUAD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Wound Healing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410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Leukocyte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501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BLCA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Leukocyte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0.377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Number of Segments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371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BLCA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Th1 Cells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373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LUAD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Th2 Cells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410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0.360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Homologous Recombination Defects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998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KIRC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Lymphocyte Infiltration Signature Score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492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TIL Regional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335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0.357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TGCT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 Cells Naive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148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SARC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TGF-beta Response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218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0.352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KIRC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TGF-beta Response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492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0.347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SARC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Wound Healing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218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0.346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Aneuploidy Score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477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0.346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BLCA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Stromal Fraction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376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Number of Segments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1025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BLCA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Lymphocyte Infiltration Signature Score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373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0.339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Macrophage Regulation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1039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LIHC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Lymphocyte Infiltration Signature Score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352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0.337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Proliferation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498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0.336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BLCA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TGF-beta Response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373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0.330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Lymphocyte Infiltration Signature Score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thorsson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489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392"/>
            <w:vAlign w:val="center"/>
          </w:tcPr>
          <w:p>
            <w:r>
              <w:rPr>
                <w:sz w:val="16"/>
              </w:rPr>
              <w:t>B</w:t>
            </w:r>
          </w:p>
        </w:tc>
      </w:tr>
    </w:tbl>
    <w:p/>
    <w:p>
      <w:pPr>
        <w:pStyle w:val="Heading1"/>
      </w:pPr>
      <w:r>
        <w:t>Table S3. Top binary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  <w:cantSplit/>
        </w:trPr>
        <w:tc>
          <w:tcPr>
            <w:tcW w:type="dxa" w:w="1218"/>
          </w:tcPr>
          <w:p>
            <w:r>
              <w:rPr>
                <w:b/>
                <w:sz w:val="17"/>
              </w:rPr>
              <w:t>Cancer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Endpoint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Family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Positive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Balanced accuracy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q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Tier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THYM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GTF2I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121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0.876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READ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APC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156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65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0.860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READ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156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0.847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490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232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0.830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BRAF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289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0.828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481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248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0.822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HIPPO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481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379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0.811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COAD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APC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433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196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0.792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Any called fusion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fusion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80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0.792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COAD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MSI-H strict (MANTIS &gt;0.6)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microsatellite_instability_sensitivity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374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0.784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ATRX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490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181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0.784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COAD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433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161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0.777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IDH1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490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375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0.772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CIC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490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105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0.770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SKCM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BRAF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292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0.765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468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218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0.754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COAD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MSI-H (MANTIS &gt;0.4)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microsatellite_instability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391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74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0.744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RTK RAS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478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403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0.740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WNT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481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131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0.729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MSI-H (MANTIS &gt;0.4)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microsatellite_instability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371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63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0.728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MSI-H strict (MANTIS &gt;0.6)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microsatellite_instability_sensitivity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364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0.713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Genome doubling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aneuploidy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477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97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0.707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COAD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KRAS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433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0.703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WNT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478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Genome doubling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aneuploidy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998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438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0.699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Any called fusion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fusion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487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236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0.695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PCPG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RTK RAS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158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0.694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TGCT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RTK RAS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143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0.693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RTK RAS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481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135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0.692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BLCA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Genome doubling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aneuploidy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376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228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0.691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COAD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Genome doubling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aneuploidy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408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165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0.691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GBM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0.691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LUAD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Genome doubling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aneuploidy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449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264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0.687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PCPG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Cell Cycle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155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0.686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Genome doubling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aneuploidy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360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154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0.681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Fusion pair: CCDC6--RET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fusion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502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0.681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OV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Genome doubling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aneuploidy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96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0.677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COAD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323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208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0.671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0.030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NRAS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0.671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SARC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Genome doubling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aneuploidy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238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112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MSI-H (MANTIS &gt;0.4)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microsatellite_instability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487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155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0.657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EGFR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490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0.655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MSI-H strict (MANTIS &gt;0.6)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microsatellite_instability_sensitivity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438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106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LIHC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Cell Cycle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337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232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0.644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327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184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0.643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SARC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146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0.643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0.035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HIPPO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327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0.639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PTEN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driver_mutation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490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0.637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Cell Cycle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476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195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0.636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Any called fusion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fusion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502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138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0.635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LIHC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WNT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337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147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0.634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TGF-Beta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481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130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0.632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PCPG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Genome doubling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aneuploidy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157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0.627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PRAD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Fusion pair: TMPRSS2--ERG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fusion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400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159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0.625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SARC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Any called fusion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fusion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252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216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0.625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WNT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468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230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0.624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LIHC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337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127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NOTCH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327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125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0.621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LIHC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Genome doubling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aneuploidy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350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0.617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RTK RAS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oncogenic_pathway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327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192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0.617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</w:t>
            </w:r>
          </w:p>
        </w:tc>
      </w:tr>
    </w:tbl>
    <w:p/>
    <w:p>
      <w:pPr>
        <w:pStyle w:val="Heading1"/>
      </w:pPr>
      <w:r>
        <w:t>Table S4. Previously reported histology mutation pairs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  <w:cantSplit/>
        </w:trPr>
        <w:tc>
          <w:tcPr>
            <w:tcW w:type="dxa" w:w="1218"/>
          </w:tcPr>
          <w:p>
            <w:r>
              <w:rPr>
                <w:b/>
                <w:sz w:val="17"/>
              </w:rPr>
              <w:t>Cancer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Gene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Prior studies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Current status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Positive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Balanced accuracy</w:t>
            </w:r>
          </w:p>
        </w:tc>
        <w:tc>
          <w:tcPr>
            <w:tcW w:type="dxa" w:w="1218"/>
          </w:tcPr>
          <w:p>
            <w:r>
              <w:rPr>
                <w:b/>
                <w:sz w:val="17"/>
              </w:rPr>
              <w:t>q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BLCA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PTEN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CESC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CASP8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CESC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PIK3R1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CESC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RB1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ESCA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HNSC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BRAF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HNSC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RHOA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HNSC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SMAD4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KIRP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KRAS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Kather2020;Loeffler2022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KIRP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PBRM1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Kather2020;Loeffler2022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KIRP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SETD2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LIHC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RB1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LUAD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FAT1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Coudray2018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LUAD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SETBP1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Coudray2018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LUSC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PIK3R1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PRAD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SETD2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SKCM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AMER1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BRCA2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KDM6A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KMT2B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KMT2D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NOTCH2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PBRM1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SETD2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not_eligible_or_not_tested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NA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IDH1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recovered_tier_A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490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375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0.772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0.022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LGG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recovered_tier_A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490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232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0.830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0.022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THCA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BRAF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recovered_tier_A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289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0.828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0.010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BLCA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ERBB2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0.458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BLCA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FGFR3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386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0.680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0.150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BRCA1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1054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0.496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CDH1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1054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96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0.100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ERBB2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1054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0.498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GATA3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1054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92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MAP3K1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Kather2020;Loeffler2022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1054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0.530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PIK3CA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Kather2020;Loeffler2022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1054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266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RB1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1054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0.496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BRCA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Kather2020;Loeffler2022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1054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259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0.717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0.100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CESC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269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0.605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0.060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HNSC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HRAS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450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HNSC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NSD1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450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0.639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0.090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HNSC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450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0.626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0.090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KIRC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PBRM1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513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144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0.549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KIRC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SETD2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513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LIHC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CTNNB1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364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93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0.643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0.070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LIHC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Fu2020;Kather2020;Loeffler2022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364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107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0.594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LUAD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EGFR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Coudray2018;Kather2020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468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0.598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LUAD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KRAS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Coudray2018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468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140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0.567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LUAD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STK11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Coudray2018;Kather2020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468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67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LUAD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Coudray2018;Kather2020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468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234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0.709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0.150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PAAD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KRAS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183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116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0.546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PRAD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FOXA1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402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0.521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PRAD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402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0.561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FBXW7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374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0.574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PIK3CA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374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0.626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0.090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PTEN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374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0.479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STAD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RNF43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Kather2020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374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0.564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KRAS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81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0.560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PTEN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Fu2020;Loeffler2022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261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0.738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0.069</w:t>
            </w:r>
          </w:p>
        </w:tc>
      </w:tr>
      <w:tr>
        <w:trPr>
          <w:cantSplit/>
        </w:trPr>
        <w:tc>
          <w:tcPr>
            <w:tcW w:type="dxa" w:w="1218"/>
            <w:vAlign w:val="center"/>
          </w:tcPr>
          <w:p>
            <w:r>
              <w:rPr>
                <w:sz w:val="16"/>
              </w:rPr>
              <w:t>UCEC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TP53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Loeffler2022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tested_not_supported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155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0.739</w:t>
            </w:r>
          </w:p>
        </w:tc>
        <w:tc>
          <w:tcPr>
            <w:tcW w:type="dxa" w:w="1218"/>
            <w:vAlign w:val="center"/>
          </w:tcPr>
          <w:p>
            <w:r>
              <w:rPr>
                <w:sz w:val="16"/>
              </w:rPr>
              <w:t>0.069</w:t>
            </w:r>
          </w:p>
        </w:tc>
      </w:tr>
    </w:tbl>
    <w:p/>
    <w:p>
      <w:pPr>
        <w:pStyle w:val="Heading1"/>
      </w:pPr>
      <w:r>
        <w:t>Machine-readable additional files</w:t>
      </w:r>
    </w:p>
    <w:p>
      <w:pPr>
        <w:pStyle w:val="ListBullet"/>
      </w:pPr>
      <w:r>
        <w:t>continuous_screen.csv</w:t>
      </w:r>
    </w:p>
    <w:p>
      <w:pPr>
        <w:pStyle w:val="ListBullet"/>
      </w:pPr>
      <w:r>
        <w:t>binary_screen.csv</w:t>
      </w:r>
    </w:p>
    <w:p>
      <w:pPr>
        <w:pStyle w:val="ListBullet"/>
      </w:pPr>
      <w:r>
        <w:t>continuous_repeated_nested_cv.csv</w:t>
      </w:r>
    </w:p>
    <w:p>
      <w:pPr>
        <w:pStyle w:val="ListBullet"/>
      </w:pPr>
      <w:r>
        <w:t>binary_repeated_nested_cv.csv</w:t>
      </w:r>
    </w:p>
    <w:p>
      <w:pPr>
        <w:pStyle w:val="ListBullet"/>
      </w:pPr>
      <w:r>
        <w:t>continuous_site_grouped_sensitivity.csv</w:t>
      </w:r>
    </w:p>
    <w:p>
      <w:pPr>
        <w:pStyle w:val="ListBullet"/>
      </w:pPr>
      <w:r>
        <w:t>binary_site_grouped_sensitivity.csv</w:t>
      </w:r>
    </w:p>
    <w:p>
      <w:pPr>
        <w:pStyle w:val="ListBullet"/>
      </w:pPr>
      <w:r>
        <w:t>continuous_slide_pooling_sensitivity.csv</w:t>
      </w:r>
    </w:p>
    <w:p>
      <w:pPr>
        <w:pStyle w:val="ListBullet"/>
      </w:pPr>
      <w:r>
        <w:t>binary_slide_pooling_sensitivity.csv</w:t>
      </w:r>
    </w:p>
    <w:p>
      <w:pPr>
        <w:pStyle w:val="ListBullet"/>
      </w:pPr>
      <w:r>
        <w:t>pls1_vs_pls2_inflammation.csv</w:t>
      </w:r>
    </w:p>
    <w:p>
      <w:pPr>
        <w:pStyle w:val="ListBullet"/>
      </w:pPr>
      <w:r>
        <w:t>prior_mutation_literature_crosswalk.csv</w:t>
      </w:r>
    </w:p>
    <w:p>
      <w:pPr>
        <w:pStyle w:val="ListBullet"/>
      </w:pPr>
      <w:r>
        <w:t>nonmutation_sample_type_audit.csv</w:t>
      </w:r>
    </w:p>
    <w:p>
      <w:pPr>
        <w:pStyle w:val="ListBullet"/>
      </w:pPr>
      <w:r>
        <w:t>mutation_sample_type_audit.csv</w:t>
      </w:r>
    </w:p>
    <w:p>
      <w:pPr>
        <w:pStyle w:val="ListBullet"/>
      </w:pPr>
      <w:r>
        <w:t>source_manifest.csv</w:t>
      </w:r>
    </w:p>
    <w:p>
      <w:pPr>
        <w:pStyle w:val="ListBullet"/>
      </w:pPr>
      <w:r>
        <w:t>models/model_registry.csv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  <w:lnNumType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Supplementary material — TITAN atlas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48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48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48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480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2F559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48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