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derived immune-feature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Binary class-size, fold-composition and stability analyses</w:t>
      </w:r>
    </w:p>
    <w:p>
      <w:r>
        <w:t>The primary screening estimate is the initial nested-CV value used for candidate selection, permutation testing and tier assignment. The repeated-validation estimate is the mean across five additional independently seeded nested-CV partitions and is reported as a post-selection stability estimate. The values need not be identical because the fold partitions and rSVD seeds differ; THYM–Th17, for example, had primary screening Q²=0.638 and five-repeat mean Q²=0.594. 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is the complete Supplementary Table S13 dictionary and contains one row for every target, including source modality, direct/inferred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Prespecified terms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PLS2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locked multiresponse immune resource, but no external validation or matched multiresponse ridge baseline was available.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Screening tier A</w:t>
            </w:r>
          </w:p>
        </w:tc>
        <w:tc>
          <w:tcPr>
            <w:tcW w:type="dxa" w:w="1392"/>
          </w:tcPr>
          <w:p>
            <w:r>
              <w:rPr>
                <w:b/>
                <w:sz w:val="17"/>
              </w:rPr>
              <w:t>Screening tier B</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S2b. Sex- and broad race-stratified performance denominators</w:t>
      </w:r>
    </w:p>
    <w:p>
      <w:r>
        <w:t>The complete machine-readable subgroup_performance_audit.csv reports all 323 screen-positive models and every subgroup-specific metric or reason for non-estimability. This concise table gives exact counts for highlighted models. Recorded sex is derived from the TCGA CDR gender field. Binary counts are shown as n (positive/negative); continuous counts are n. Performance was estimated only for high-volume models (n≥200) with ≥50 patients per continuous subgroup or ≥20 positive and ≥20 negative patients per binary subgroup. These post hoc estimates reuse fixed held-out predictions and are not fairness validation.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w:t>
            </w:r>
          </w:p>
        </w:tc>
        <w:tc>
          <w:tcPr>
            <w:tcW w:type="dxa" w:w="1392"/>
          </w:tcPr>
          <w:p>
            <w:r>
              <w:rPr>
                <w:b/>
                <w:sz w:val="17"/>
              </w:rPr>
              <w:t>Endpoint</w:t>
            </w:r>
          </w:p>
        </w:tc>
        <w:tc>
          <w:tcPr>
            <w:tcW w:type="dxa" w:w="1392"/>
          </w:tcPr>
          <w:p>
            <w:r>
              <w:rPr>
                <w:b/>
                <w:sz w:val="17"/>
              </w:rPr>
              <w:t>n</w:t>
            </w:r>
          </w:p>
        </w:tc>
        <w:tc>
          <w:tcPr>
            <w:tcW w:type="dxa" w:w="1392"/>
          </w:tcPr>
          <w:p>
            <w:r>
              <w:rPr>
                <w:b/>
                <w:sz w:val="17"/>
              </w:rPr>
              <w:t>Sex F/M/missing</w:t>
            </w:r>
          </w:p>
        </w:tc>
        <w:tc>
          <w:tcPr>
            <w:tcW w:type="dxa" w:w="1392"/>
          </w:tcPr>
          <w:p>
            <w:r>
              <w:rPr>
                <w:b/>
                <w:sz w:val="17"/>
              </w:rPr>
              <w:t>Race W/B/A/O/missing</w:t>
            </w:r>
          </w:p>
        </w:tc>
        <w:tc>
          <w:tcPr>
            <w:tcW w:type="dxa" w:w="1392"/>
          </w:tcPr>
          <w:p>
            <w:r>
              <w:rPr>
                <w:b/>
                <w:sz w:val="17"/>
              </w:rPr>
              <w:t>Subgroups with performance</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APC [driver mutation]</w:t>
            </w:r>
          </w:p>
        </w:tc>
        <w:tc>
          <w:tcPr>
            <w:tcW w:type="dxa" w:w="1392"/>
            <w:vAlign w:val="center"/>
          </w:tcPr>
          <w:p>
            <w:r>
              <w:rPr>
                <w:sz w:val="16"/>
              </w:rPr>
              <w:t>382</w:t>
            </w:r>
          </w:p>
        </w:tc>
        <w:tc>
          <w:tcPr>
            <w:tcW w:type="dxa" w:w="1392"/>
            <w:vAlign w:val="center"/>
          </w:tcPr>
          <w:p>
            <w:r>
              <w:rPr>
                <w:sz w:val="16"/>
              </w:rPr>
              <w:t>190 (95/95)/192 (101/91)/0</w:t>
            </w:r>
          </w:p>
        </w:tc>
        <w:tc>
          <w:tcPr>
            <w:tcW w:type="dxa" w:w="1392"/>
            <w:vAlign w:val="center"/>
          </w:tcPr>
          <w:p>
            <w:r>
              <w:rPr>
                <w:sz w:val="16"/>
              </w:rPr>
              <w:t>198 (143/55)/54 (42/12)/11 (6/5)/1 (0/1)/118 (5/113)</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TP53 [driver mutation]</w:t>
            </w:r>
          </w:p>
        </w:tc>
        <w:tc>
          <w:tcPr>
            <w:tcW w:type="dxa" w:w="1392"/>
            <w:vAlign w:val="center"/>
          </w:tcPr>
          <w:p>
            <w:r>
              <w:rPr>
                <w:sz w:val="16"/>
              </w:rPr>
              <w:t>382</w:t>
            </w:r>
          </w:p>
        </w:tc>
        <w:tc>
          <w:tcPr>
            <w:tcW w:type="dxa" w:w="1392"/>
            <w:vAlign w:val="center"/>
          </w:tcPr>
          <w:p>
            <w:r>
              <w:rPr>
                <w:sz w:val="16"/>
              </w:rPr>
              <w:t>190 (74/116)/192 (87/105)/0</w:t>
            </w:r>
          </w:p>
        </w:tc>
        <w:tc>
          <w:tcPr>
            <w:tcW w:type="dxa" w:w="1392"/>
            <w:vAlign w:val="center"/>
          </w:tcPr>
          <w:p>
            <w:r>
              <w:rPr>
                <w:sz w:val="16"/>
              </w:rPr>
              <w:t>198 (121/77)/54 (35/19)/11 (4/7)/1 (0/1)/118 (1/117)</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IDH1 [driver mutation]</w:t>
            </w:r>
          </w:p>
        </w:tc>
        <w:tc>
          <w:tcPr>
            <w:tcW w:type="dxa" w:w="1392"/>
            <w:vAlign w:val="center"/>
          </w:tcPr>
          <w:p>
            <w:r>
              <w:rPr>
                <w:sz w:val="16"/>
              </w:rPr>
              <w:t>485</w:t>
            </w:r>
          </w:p>
        </w:tc>
        <w:tc>
          <w:tcPr>
            <w:tcW w:type="dxa" w:w="1392"/>
            <w:vAlign w:val="center"/>
          </w:tcPr>
          <w:p>
            <w:r>
              <w:rPr>
                <w:sz w:val="16"/>
              </w:rPr>
              <w:t>216 (166/50)/269 (209/60)/0</w:t>
            </w:r>
          </w:p>
        </w:tc>
        <w:tc>
          <w:tcPr>
            <w:tcW w:type="dxa" w:w="1392"/>
            <w:vAlign w:val="center"/>
          </w:tcPr>
          <w:p>
            <w:r>
              <w:rPr>
                <w:sz w:val="16"/>
              </w:rPr>
              <w:t>447 (350/97)/20 (12/8)/7 (5/2)/1 (0/1)/10 (8/2)</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TP53 [driver mutation]</w:t>
            </w:r>
          </w:p>
        </w:tc>
        <w:tc>
          <w:tcPr>
            <w:tcW w:type="dxa" w:w="1392"/>
            <w:vAlign w:val="center"/>
          </w:tcPr>
          <w:p>
            <w:r>
              <w:rPr>
                <w:sz w:val="16"/>
              </w:rPr>
              <w:t>485</w:t>
            </w:r>
          </w:p>
        </w:tc>
        <w:tc>
          <w:tcPr>
            <w:tcW w:type="dxa" w:w="1392"/>
            <w:vAlign w:val="center"/>
          </w:tcPr>
          <w:p>
            <w:r>
              <w:rPr>
                <w:sz w:val="16"/>
              </w:rPr>
              <w:t>216 (98/118)/269 (134/135)/0</w:t>
            </w:r>
          </w:p>
        </w:tc>
        <w:tc>
          <w:tcPr>
            <w:tcW w:type="dxa" w:w="1392"/>
            <w:vAlign w:val="center"/>
          </w:tcPr>
          <w:p>
            <w:r>
              <w:rPr>
                <w:sz w:val="16"/>
              </w:rPr>
              <w:t>447 (222/225)/20 (7/13)/7 (1/6)/1 (0/1)/10 (2/8)</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READ</w:t>
            </w:r>
          </w:p>
        </w:tc>
        <w:tc>
          <w:tcPr>
            <w:tcW w:type="dxa" w:w="1392"/>
            <w:vAlign w:val="center"/>
          </w:tcPr>
          <w:p>
            <w:r>
              <w:rPr>
                <w:sz w:val="16"/>
              </w:rPr>
              <w:t>APC [driver mutation]</w:t>
            </w:r>
          </w:p>
        </w:tc>
        <w:tc>
          <w:tcPr>
            <w:tcW w:type="dxa" w:w="1392"/>
            <w:vAlign w:val="center"/>
          </w:tcPr>
          <w:p>
            <w:r>
              <w:rPr>
                <w:sz w:val="16"/>
              </w:rPr>
              <w:t>135</w:t>
            </w:r>
          </w:p>
        </w:tc>
        <w:tc>
          <w:tcPr>
            <w:tcW w:type="dxa" w:w="1392"/>
            <w:vAlign w:val="center"/>
          </w:tcPr>
          <w:p>
            <w:r>
              <w:rPr>
                <w:sz w:val="16"/>
              </w:rPr>
              <w:t>62 (30/32)/73 (35/38)/0</w:t>
            </w:r>
          </w:p>
        </w:tc>
        <w:tc>
          <w:tcPr>
            <w:tcW w:type="dxa" w:w="1392"/>
            <w:vAlign w:val="center"/>
          </w:tcPr>
          <w:p>
            <w:r>
              <w:rPr>
                <w:sz w:val="16"/>
              </w:rPr>
              <w:t>73 (58/15)/6 (5/1)/1 (0/1)/0/55 (2/53)</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READ</w:t>
            </w:r>
          </w:p>
        </w:tc>
        <w:tc>
          <w:tcPr>
            <w:tcW w:type="dxa" w:w="1392"/>
            <w:vAlign w:val="center"/>
          </w:tcPr>
          <w:p>
            <w:r>
              <w:rPr>
                <w:sz w:val="16"/>
              </w:rPr>
              <w:t>TP53 [driver mutation]</w:t>
            </w:r>
          </w:p>
        </w:tc>
        <w:tc>
          <w:tcPr>
            <w:tcW w:type="dxa" w:w="1392"/>
            <w:vAlign w:val="center"/>
          </w:tcPr>
          <w:p>
            <w:r>
              <w:rPr>
                <w:sz w:val="16"/>
              </w:rPr>
              <w:t>135</w:t>
            </w:r>
          </w:p>
        </w:tc>
        <w:tc>
          <w:tcPr>
            <w:tcW w:type="dxa" w:w="1392"/>
            <w:vAlign w:val="center"/>
          </w:tcPr>
          <w:p>
            <w:r>
              <w:rPr>
                <w:sz w:val="16"/>
              </w:rPr>
              <w:t>62 (30/32)/73 (36/37)/0</w:t>
            </w:r>
          </w:p>
        </w:tc>
        <w:tc>
          <w:tcPr>
            <w:tcW w:type="dxa" w:w="1392"/>
            <w:vAlign w:val="center"/>
          </w:tcPr>
          <w:p>
            <w:r>
              <w:rPr>
                <w:sz w:val="16"/>
              </w:rPr>
              <w:t>73 (57/16)/6 (5/1)/1 (1/0)/0/55 (3/52)</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THCA</w:t>
            </w:r>
          </w:p>
        </w:tc>
        <w:tc>
          <w:tcPr>
            <w:tcW w:type="dxa" w:w="1392"/>
            <w:vAlign w:val="center"/>
          </w:tcPr>
          <w:p>
            <w:r>
              <w:rPr>
                <w:sz w:val="16"/>
              </w:rPr>
              <w:t>BRAF [driver mutation]</w:t>
            </w:r>
          </w:p>
        </w:tc>
        <w:tc>
          <w:tcPr>
            <w:tcW w:type="dxa" w:w="1392"/>
            <w:vAlign w:val="center"/>
          </w:tcPr>
          <w:p>
            <w:r>
              <w:rPr>
                <w:sz w:val="16"/>
              </w:rPr>
              <w:t>490</w:t>
            </w:r>
          </w:p>
        </w:tc>
        <w:tc>
          <w:tcPr>
            <w:tcW w:type="dxa" w:w="1392"/>
            <w:vAlign w:val="center"/>
          </w:tcPr>
          <w:p>
            <w:r>
              <w:rPr>
                <w:sz w:val="16"/>
              </w:rPr>
              <w:t>361 (212/149)/129 (77/52)/0</w:t>
            </w:r>
          </w:p>
        </w:tc>
        <w:tc>
          <w:tcPr>
            <w:tcW w:type="dxa" w:w="1392"/>
            <w:vAlign w:val="center"/>
          </w:tcPr>
          <w:p>
            <w:r>
              <w:rPr>
                <w:sz w:val="16"/>
              </w:rPr>
              <w:t>320 (204/116)/26 (15/11)/51 (31/20)/1 (1/0)/92 (38/54)</w:t>
            </w:r>
          </w:p>
        </w:tc>
        <w:tc>
          <w:tcPr>
            <w:tcW w:type="dxa" w:w="1392"/>
            <w:vAlign w:val="center"/>
          </w:tcPr>
          <w:p>
            <w:r>
              <w:rPr>
                <w:sz w:val="16"/>
              </w:rPr>
              <w:t>Asian, White, FEMALE, MALE</w:t>
            </w:r>
          </w:p>
        </w:tc>
      </w:tr>
      <w:tr>
        <w:trPr>
          <w:cantSplit/>
        </w:trPr>
        <w:tc>
          <w:tcPr>
            <w:tcW w:type="dxa" w:w="1392"/>
            <w:vAlign w:val="center"/>
          </w:tcPr>
          <w:p>
            <w:r>
              <w:rPr>
                <w:sz w:val="16"/>
              </w:rPr>
              <w:t>binary</w:t>
            </w:r>
          </w:p>
        </w:tc>
        <w:tc>
          <w:tcPr>
            <w:tcW w:type="dxa" w:w="1392"/>
            <w:vAlign w:val="center"/>
          </w:tcPr>
          <w:p>
            <w:r>
              <w:rPr>
                <w:sz w:val="16"/>
              </w:rPr>
              <w:t>THYM</w:t>
            </w:r>
          </w:p>
        </w:tc>
        <w:tc>
          <w:tcPr>
            <w:tcW w:type="dxa" w:w="1392"/>
            <w:vAlign w:val="center"/>
          </w:tcPr>
          <w:p>
            <w:r>
              <w:rPr>
                <w:sz w:val="16"/>
              </w:rPr>
              <w:t>GTF2I [driver mutation]</w:t>
            </w:r>
          </w:p>
        </w:tc>
        <w:tc>
          <w:tcPr>
            <w:tcW w:type="dxa" w:w="1392"/>
            <w:vAlign w:val="center"/>
          </w:tcPr>
          <w:p>
            <w:r>
              <w:rPr>
                <w:sz w:val="16"/>
              </w:rPr>
              <w:t>120</w:t>
            </w:r>
          </w:p>
        </w:tc>
        <w:tc>
          <w:tcPr>
            <w:tcW w:type="dxa" w:w="1392"/>
            <w:vAlign w:val="center"/>
          </w:tcPr>
          <w:p>
            <w:r>
              <w:rPr>
                <w:sz w:val="16"/>
              </w:rPr>
              <w:t>59 (28/31)/61 (31/30)/0</w:t>
            </w:r>
          </w:p>
        </w:tc>
        <w:tc>
          <w:tcPr>
            <w:tcW w:type="dxa" w:w="1392"/>
            <w:vAlign w:val="center"/>
          </w:tcPr>
          <w:p>
            <w:r>
              <w:rPr>
                <w:sz w:val="16"/>
              </w:rPr>
              <w:t>99 (48/51)/6 (3/3)/13 (7/6)/0/2 (1/1)</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UCEC</w:t>
            </w:r>
          </w:p>
        </w:tc>
        <w:tc>
          <w:tcPr>
            <w:tcW w:type="dxa" w:w="1392"/>
            <w:vAlign w:val="center"/>
          </w:tcPr>
          <w:p>
            <w:r>
              <w:rPr>
                <w:sz w:val="16"/>
              </w:rPr>
              <w:t>Any called fusion [fusion]</w:t>
            </w:r>
          </w:p>
        </w:tc>
        <w:tc>
          <w:tcPr>
            <w:tcW w:type="dxa" w:w="1392"/>
            <w:vAlign w:val="center"/>
          </w:tcPr>
          <w:p>
            <w:r>
              <w:rPr>
                <w:sz w:val="16"/>
              </w:rPr>
              <w:t>153</w:t>
            </w:r>
          </w:p>
        </w:tc>
        <w:tc>
          <w:tcPr>
            <w:tcW w:type="dxa" w:w="1392"/>
            <w:vAlign w:val="center"/>
          </w:tcPr>
          <w:p>
            <w:r>
              <w:rPr>
                <w:sz w:val="16"/>
              </w:rPr>
              <w:t>153 (80/73)/0/0</w:t>
            </w:r>
          </w:p>
        </w:tc>
        <w:tc>
          <w:tcPr>
            <w:tcW w:type="dxa" w:w="1392"/>
            <w:vAlign w:val="center"/>
          </w:tcPr>
          <w:p>
            <w:r>
              <w:rPr>
                <w:sz w:val="16"/>
              </w:rPr>
              <w:t>69 (39/30)/62 (32/30)/1 (0/1)/3 (1/2)/18 (8/10)</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MSI-H strict (MANTIS &gt;0.6) [microsatellite instability sensitivity]</w:t>
            </w:r>
          </w:p>
        </w:tc>
        <w:tc>
          <w:tcPr>
            <w:tcW w:type="dxa" w:w="1392"/>
            <w:vAlign w:val="center"/>
          </w:tcPr>
          <w:p>
            <w:r>
              <w:rPr>
                <w:sz w:val="16"/>
              </w:rPr>
              <w:t>374</w:t>
            </w:r>
          </w:p>
        </w:tc>
        <w:tc>
          <w:tcPr>
            <w:tcW w:type="dxa" w:w="1392"/>
            <w:vAlign w:val="center"/>
          </w:tcPr>
          <w:p>
            <w:r>
              <w:rPr>
                <w:sz w:val="16"/>
              </w:rPr>
              <w:t>186 (36/150)/187 (21/166)/1 (0/1)</w:t>
            </w:r>
          </w:p>
        </w:tc>
        <w:tc>
          <w:tcPr>
            <w:tcW w:type="dxa" w:w="1392"/>
            <w:vAlign w:val="center"/>
          </w:tcPr>
          <w:p>
            <w:r>
              <w:rPr>
                <w:sz w:val="16"/>
              </w:rPr>
              <w:t>188 (33/155)/53 (7/46)/11 (1/10)/1 (0/1)/121 (16/105)</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HIPPO [oncogenic pathway]</w:t>
            </w:r>
          </w:p>
        </w:tc>
        <w:tc>
          <w:tcPr>
            <w:tcW w:type="dxa" w:w="1392"/>
            <w:vAlign w:val="center"/>
          </w:tcPr>
          <w:p>
            <w:r>
              <w:rPr>
                <w:sz w:val="16"/>
              </w:rPr>
              <w:t>481</w:t>
            </w:r>
          </w:p>
        </w:tc>
        <w:tc>
          <w:tcPr>
            <w:tcW w:type="dxa" w:w="1392"/>
            <w:vAlign w:val="center"/>
          </w:tcPr>
          <w:p>
            <w:r>
              <w:rPr>
                <w:sz w:val="16"/>
              </w:rPr>
              <w:t>212 (167/45)/268 (211/57)/1 (1/0)</w:t>
            </w:r>
          </w:p>
        </w:tc>
        <w:tc>
          <w:tcPr>
            <w:tcW w:type="dxa" w:w="1392"/>
            <w:vAlign w:val="center"/>
          </w:tcPr>
          <w:p>
            <w:r>
              <w:rPr>
                <w:sz w:val="16"/>
              </w:rPr>
              <w:t>443 (354/89)/20 (13/7)/6 (3/3)/1 (0/1)/11 (9/2)</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TP53 [oncogenic pathway]</w:t>
            </w:r>
          </w:p>
        </w:tc>
        <w:tc>
          <w:tcPr>
            <w:tcW w:type="dxa" w:w="1392"/>
            <w:vAlign w:val="center"/>
          </w:tcPr>
          <w:p>
            <w:r>
              <w:rPr>
                <w:sz w:val="16"/>
              </w:rPr>
              <w:t>481</w:t>
            </w:r>
          </w:p>
        </w:tc>
        <w:tc>
          <w:tcPr>
            <w:tcW w:type="dxa" w:w="1392"/>
            <w:vAlign w:val="center"/>
          </w:tcPr>
          <w:p>
            <w:r>
              <w:rPr>
                <w:sz w:val="16"/>
              </w:rPr>
              <w:t>212 (103/109)/268 (144/124)/1 (1/0)</w:t>
            </w:r>
          </w:p>
        </w:tc>
        <w:tc>
          <w:tcPr>
            <w:tcW w:type="dxa" w:w="1392"/>
            <w:vAlign w:val="center"/>
          </w:tcPr>
          <w:p>
            <w:r>
              <w:rPr>
                <w:sz w:val="16"/>
              </w:rPr>
              <w:t>443 (234/209)/20 (9/11)/6 (2/4)/1 (0/1)/11 (3/8)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BRCA</w:t>
            </w:r>
          </w:p>
        </w:tc>
        <w:tc>
          <w:tcPr>
            <w:tcW w:type="dxa" w:w="1392"/>
            <w:vAlign w:val="center"/>
          </w:tcPr>
          <w:p>
            <w:r>
              <w:rPr>
                <w:sz w:val="16"/>
              </w:rPr>
              <w:t>Proliferation [thorsson]</w:t>
            </w:r>
          </w:p>
        </w:tc>
        <w:tc>
          <w:tcPr>
            <w:tcW w:type="dxa" w:w="1392"/>
            <w:vAlign w:val="center"/>
          </w:tcPr>
          <w:p>
            <w:r>
              <w:rPr>
                <w:sz w:val="16"/>
              </w:rPr>
              <w:t>1039</w:t>
            </w:r>
          </w:p>
        </w:tc>
        <w:tc>
          <w:tcPr>
            <w:tcW w:type="dxa" w:w="1392"/>
            <w:vAlign w:val="center"/>
          </w:tcPr>
          <w:p>
            <w:r>
              <w:rPr>
                <w:sz w:val="16"/>
              </w:rPr>
              <w:t>1027/12/0</w:t>
            </w:r>
          </w:p>
        </w:tc>
        <w:tc>
          <w:tcPr>
            <w:tcW w:type="dxa" w:w="1392"/>
            <w:vAlign w:val="center"/>
          </w:tcPr>
          <w:p>
            <w:r>
              <w:rPr>
                <w:sz w:val="16"/>
              </w:rPr>
              <w:t>721/167/61/1/89</w:t>
            </w:r>
          </w:p>
        </w:tc>
        <w:tc>
          <w:tcPr>
            <w:tcW w:type="dxa" w:w="1392"/>
            <w:vAlign w:val="center"/>
          </w:tcPr>
          <w:p>
            <w:r>
              <w:rPr>
                <w:sz w:val="16"/>
              </w:rPr>
              <w:t>Asian, Black or African American, White, FEMALE</w:t>
            </w:r>
          </w:p>
        </w:tc>
      </w:tr>
      <w:tr>
        <w:trPr>
          <w:cantSplit/>
        </w:trPr>
        <w:tc>
          <w:tcPr>
            <w:tcW w:type="dxa" w:w="1392"/>
            <w:vAlign w:val="center"/>
          </w:tcPr>
          <w:p>
            <w:r>
              <w:rPr>
                <w:sz w:val="16"/>
              </w:rPr>
              <w:t>continuous</w:t>
            </w:r>
          </w:p>
        </w:tc>
        <w:tc>
          <w:tcPr>
            <w:tcW w:type="dxa" w:w="1392"/>
            <w:vAlign w:val="center"/>
          </w:tcPr>
          <w:p>
            <w:r>
              <w:rPr>
                <w:sz w:val="16"/>
              </w:rPr>
              <w:t>BRCA</w:t>
            </w:r>
          </w:p>
        </w:tc>
        <w:tc>
          <w:tcPr>
            <w:tcW w:type="dxa" w:w="1392"/>
            <w:vAlign w:val="center"/>
          </w:tcPr>
          <w:p>
            <w:r>
              <w:rPr>
                <w:sz w:val="16"/>
              </w:rPr>
              <w:t>Wound Healing [thorsson]</w:t>
            </w:r>
          </w:p>
        </w:tc>
        <w:tc>
          <w:tcPr>
            <w:tcW w:type="dxa" w:w="1392"/>
            <w:vAlign w:val="center"/>
          </w:tcPr>
          <w:p>
            <w:r>
              <w:rPr>
                <w:sz w:val="16"/>
              </w:rPr>
              <w:t>1039</w:t>
            </w:r>
          </w:p>
        </w:tc>
        <w:tc>
          <w:tcPr>
            <w:tcW w:type="dxa" w:w="1392"/>
            <w:vAlign w:val="center"/>
          </w:tcPr>
          <w:p>
            <w:r>
              <w:rPr>
                <w:sz w:val="16"/>
              </w:rPr>
              <w:t>1027/12/0</w:t>
            </w:r>
          </w:p>
        </w:tc>
        <w:tc>
          <w:tcPr>
            <w:tcW w:type="dxa" w:w="1392"/>
            <w:vAlign w:val="center"/>
          </w:tcPr>
          <w:p>
            <w:r>
              <w:rPr>
                <w:sz w:val="16"/>
              </w:rPr>
              <w:t>721/167/61/1/89</w:t>
            </w:r>
          </w:p>
        </w:tc>
        <w:tc>
          <w:tcPr>
            <w:tcW w:type="dxa" w:w="1392"/>
            <w:vAlign w:val="center"/>
          </w:tcPr>
          <w:p>
            <w:r>
              <w:rPr>
                <w:sz w:val="16"/>
              </w:rPr>
              <w:t>Asian, Black or African American, White, FEMALE</w:t>
            </w:r>
          </w:p>
        </w:tc>
      </w:tr>
      <w:tr>
        <w:trPr>
          <w:cantSplit/>
        </w:trPr>
        <w:tc>
          <w:tcPr>
            <w:tcW w:type="dxa" w:w="1392"/>
            <w:vAlign w:val="center"/>
          </w:tcPr>
          <w:p>
            <w:r>
              <w:rPr>
                <w:sz w:val="16"/>
              </w:rPr>
              <w:t>continuous</w:t>
            </w:r>
          </w:p>
        </w:tc>
        <w:tc>
          <w:tcPr>
            <w:tcW w:type="dxa" w:w="1392"/>
            <w:vAlign w:val="center"/>
          </w:tcPr>
          <w:p>
            <w:r>
              <w:rPr>
                <w:sz w:val="16"/>
              </w:rPr>
              <w:t>KIRP</w:t>
            </w:r>
          </w:p>
        </w:tc>
        <w:tc>
          <w:tcPr>
            <w:tcW w:type="dxa" w:w="1392"/>
            <w:vAlign w:val="center"/>
          </w:tcPr>
          <w:p>
            <w:r>
              <w:rPr>
                <w:sz w:val="16"/>
              </w:rPr>
              <w:t>Proliferation [thorsson]</w:t>
            </w:r>
          </w:p>
        </w:tc>
        <w:tc>
          <w:tcPr>
            <w:tcW w:type="dxa" w:w="1392"/>
            <w:vAlign w:val="center"/>
          </w:tcPr>
          <w:p>
            <w:r>
              <w:rPr>
                <w:sz w:val="16"/>
              </w:rPr>
              <w:t>261</w:t>
            </w:r>
          </w:p>
        </w:tc>
        <w:tc>
          <w:tcPr>
            <w:tcW w:type="dxa" w:w="1392"/>
            <w:vAlign w:val="center"/>
          </w:tcPr>
          <w:p>
            <w:r>
              <w:rPr>
                <w:sz w:val="16"/>
              </w:rPr>
              <w:t>63/198/0</w:t>
            </w:r>
          </w:p>
        </w:tc>
        <w:tc>
          <w:tcPr>
            <w:tcW w:type="dxa" w:w="1392"/>
            <w:vAlign w:val="center"/>
          </w:tcPr>
          <w:p>
            <w:r>
              <w:rPr>
                <w:sz w:val="16"/>
              </w:rPr>
              <w:t>185/57/6/2/11</w:t>
            </w:r>
          </w:p>
        </w:tc>
        <w:tc>
          <w:tcPr>
            <w:tcW w:type="dxa" w:w="1392"/>
            <w:vAlign w:val="center"/>
          </w:tcPr>
          <w:p>
            <w:r>
              <w:rPr>
                <w:sz w:val="16"/>
              </w:rPr>
              <w:t>Black or African American, White, FEMALE, MALE</w:t>
            </w:r>
          </w:p>
        </w:tc>
      </w:tr>
      <w:tr>
        <w:trPr>
          <w:cantSplit/>
        </w:trPr>
        <w:tc>
          <w:tcPr>
            <w:tcW w:type="dxa" w:w="1392"/>
            <w:vAlign w:val="center"/>
          </w:tcPr>
          <w:p>
            <w:r>
              <w:rPr>
                <w:sz w:val="16"/>
              </w:rPr>
              <w:t>continuous</w:t>
            </w:r>
          </w:p>
        </w:tc>
        <w:tc>
          <w:tcPr>
            <w:tcW w:type="dxa" w:w="1392"/>
            <w:vAlign w:val="center"/>
          </w:tcPr>
          <w:p>
            <w:r>
              <w:rPr>
                <w:sz w:val="16"/>
              </w:rPr>
              <w:t>LUAD</w:t>
            </w:r>
          </w:p>
        </w:tc>
        <w:tc>
          <w:tcPr>
            <w:tcW w:type="dxa" w:w="1392"/>
            <w:vAlign w:val="center"/>
          </w:tcPr>
          <w:p>
            <w:r>
              <w:rPr>
                <w:sz w:val="16"/>
              </w:rPr>
              <w:t>Proliferation [thorsson]</w:t>
            </w:r>
          </w:p>
        </w:tc>
        <w:tc>
          <w:tcPr>
            <w:tcW w:type="dxa" w:w="1392"/>
            <w:vAlign w:val="center"/>
          </w:tcPr>
          <w:p>
            <w:r>
              <w:rPr>
                <w:sz w:val="16"/>
              </w:rPr>
              <w:t>410</w:t>
            </w:r>
          </w:p>
        </w:tc>
        <w:tc>
          <w:tcPr>
            <w:tcW w:type="dxa" w:w="1392"/>
            <w:vAlign w:val="center"/>
          </w:tcPr>
          <w:p>
            <w:r>
              <w:rPr>
                <w:sz w:val="16"/>
              </w:rPr>
              <w:t>225/185/0</w:t>
            </w:r>
          </w:p>
        </w:tc>
        <w:tc>
          <w:tcPr>
            <w:tcW w:type="dxa" w:w="1392"/>
            <w:vAlign w:val="center"/>
          </w:tcPr>
          <w:p>
            <w:r>
              <w:rPr>
                <w:sz w:val="16"/>
              </w:rPr>
              <w:t>310/43/8/1/48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SARC</w:t>
            </w:r>
          </w:p>
        </w:tc>
        <w:tc>
          <w:tcPr>
            <w:tcW w:type="dxa" w:w="1392"/>
            <w:vAlign w:val="center"/>
          </w:tcPr>
          <w:p>
            <w:r>
              <w:rPr>
                <w:sz w:val="16"/>
              </w:rPr>
              <w:t>Macrophage Regulation [thorsson]</w:t>
            </w:r>
          </w:p>
        </w:tc>
        <w:tc>
          <w:tcPr>
            <w:tcW w:type="dxa" w:w="1392"/>
            <w:vAlign w:val="center"/>
          </w:tcPr>
          <w:p>
            <w:r>
              <w:rPr>
                <w:sz w:val="16"/>
              </w:rPr>
              <w:t>218</w:t>
            </w:r>
          </w:p>
        </w:tc>
        <w:tc>
          <w:tcPr>
            <w:tcW w:type="dxa" w:w="1392"/>
            <w:vAlign w:val="center"/>
          </w:tcPr>
          <w:p>
            <w:r>
              <w:rPr>
                <w:sz w:val="16"/>
              </w:rPr>
              <w:t>120/98/0</w:t>
            </w:r>
          </w:p>
        </w:tc>
        <w:tc>
          <w:tcPr>
            <w:tcW w:type="dxa" w:w="1392"/>
            <w:vAlign w:val="center"/>
          </w:tcPr>
          <w:p>
            <w:r>
              <w:rPr>
                <w:sz w:val="16"/>
              </w:rPr>
              <w:t>191/16/3/0/8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TGCT</w:t>
            </w:r>
          </w:p>
        </w:tc>
        <w:tc>
          <w:tcPr>
            <w:tcW w:type="dxa" w:w="1392"/>
            <w:vAlign w:val="center"/>
          </w:tcPr>
          <w:p>
            <w:r>
              <w:rPr>
                <w:sz w:val="16"/>
              </w:rPr>
              <w:t>TGF-beta Response [thorsson]</w:t>
            </w:r>
          </w:p>
        </w:tc>
        <w:tc>
          <w:tcPr>
            <w:tcW w:type="dxa" w:w="1392"/>
            <w:vAlign w:val="center"/>
          </w:tcPr>
          <w:p>
            <w:r>
              <w:rPr>
                <w:sz w:val="16"/>
              </w:rPr>
              <w:t>148</w:t>
            </w:r>
          </w:p>
        </w:tc>
        <w:tc>
          <w:tcPr>
            <w:tcW w:type="dxa" w:w="1392"/>
            <w:vAlign w:val="center"/>
          </w:tcPr>
          <w:p>
            <w:r>
              <w:rPr>
                <w:sz w:val="16"/>
              </w:rPr>
              <w:t>0/132/16</w:t>
            </w:r>
          </w:p>
        </w:tc>
        <w:tc>
          <w:tcPr>
            <w:tcW w:type="dxa" w:w="1392"/>
            <w:vAlign w:val="center"/>
          </w:tcPr>
          <w:p>
            <w:r>
              <w:rPr>
                <w:sz w:val="16"/>
              </w:rPr>
              <w:t>117/6/4/0/21</w:t>
            </w:r>
          </w:p>
        </w:tc>
        <w:tc>
          <w:tcPr>
            <w:tcW w:type="dxa" w:w="1392"/>
            <w:vAlign w:val="center"/>
          </w:tcPr>
          <w:p>
            <w:r>
              <w:rPr>
                <w:sz w:val="16"/>
              </w:rPr>
              <w:t>None: denominator rule not met</w:t>
            </w:r>
          </w:p>
        </w:tc>
      </w:tr>
      <w:tr>
        <w:trPr>
          <w:cantSplit/>
        </w:trPr>
        <w:tc>
          <w:tcPr>
            <w:tcW w:type="dxa" w:w="1392"/>
            <w:vAlign w:val="center"/>
          </w:tcPr>
          <w:p>
            <w:r>
              <w:rPr>
                <w:sz w:val="16"/>
              </w:rPr>
              <w:t>continuous</w:t>
            </w:r>
          </w:p>
        </w:tc>
        <w:tc>
          <w:tcPr>
            <w:tcW w:type="dxa" w:w="1392"/>
            <w:vAlign w:val="center"/>
          </w:tcPr>
          <w:p>
            <w:r>
              <w:rPr>
                <w:sz w:val="16"/>
              </w:rPr>
              <w:t>TGCT</w:t>
            </w:r>
          </w:p>
        </w:tc>
        <w:tc>
          <w:tcPr>
            <w:tcW w:type="dxa" w:w="1392"/>
            <w:vAlign w:val="center"/>
          </w:tcPr>
          <w:p>
            <w:r>
              <w:rPr>
                <w:sz w:val="16"/>
              </w:rPr>
              <w:t>Wound Healing [thorsson]</w:t>
            </w:r>
          </w:p>
        </w:tc>
        <w:tc>
          <w:tcPr>
            <w:tcW w:type="dxa" w:w="1392"/>
            <w:vAlign w:val="center"/>
          </w:tcPr>
          <w:p>
            <w:r>
              <w:rPr>
                <w:sz w:val="16"/>
              </w:rPr>
              <w:t>148</w:t>
            </w:r>
          </w:p>
        </w:tc>
        <w:tc>
          <w:tcPr>
            <w:tcW w:type="dxa" w:w="1392"/>
            <w:vAlign w:val="center"/>
          </w:tcPr>
          <w:p>
            <w:r>
              <w:rPr>
                <w:sz w:val="16"/>
              </w:rPr>
              <w:t>0/132/16</w:t>
            </w:r>
          </w:p>
        </w:tc>
        <w:tc>
          <w:tcPr>
            <w:tcW w:type="dxa" w:w="1392"/>
            <w:vAlign w:val="center"/>
          </w:tcPr>
          <w:p>
            <w:r>
              <w:rPr>
                <w:sz w:val="16"/>
              </w:rPr>
              <w:t>117/6/4/0/21</w:t>
            </w:r>
          </w:p>
        </w:tc>
        <w:tc>
          <w:tcPr>
            <w:tcW w:type="dxa" w:w="1392"/>
            <w:vAlign w:val="center"/>
          </w:tcPr>
          <w:p>
            <w:r>
              <w:rPr>
                <w:sz w:val="16"/>
              </w:rPr>
              <w:t>None: denominator rule not met</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Lymphocyte Infiltration Signature Score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Macrophage Regulation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TGF-beta Response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Th1 Cells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THYM</w:t>
            </w:r>
          </w:p>
        </w:tc>
        <w:tc>
          <w:tcPr>
            <w:tcW w:type="dxa" w:w="1392"/>
            <w:vAlign w:val="center"/>
          </w:tcPr>
          <w:p>
            <w:r>
              <w:rPr>
                <w:sz w:val="16"/>
              </w:rPr>
              <w:t>Th17 Cells [thorsson]</w:t>
            </w:r>
          </w:p>
        </w:tc>
        <w:tc>
          <w:tcPr>
            <w:tcW w:type="dxa" w:w="1392"/>
            <w:vAlign w:val="center"/>
          </w:tcPr>
          <w:p>
            <w:r>
              <w:rPr>
                <w:sz w:val="16"/>
              </w:rPr>
              <w:t>117</w:t>
            </w:r>
          </w:p>
        </w:tc>
        <w:tc>
          <w:tcPr>
            <w:tcW w:type="dxa" w:w="1392"/>
            <w:vAlign w:val="center"/>
          </w:tcPr>
          <w:p>
            <w:r>
              <w:rPr>
                <w:sz w:val="16"/>
              </w:rPr>
              <w:t>57/60/0</w:t>
            </w:r>
          </w:p>
        </w:tc>
        <w:tc>
          <w:tcPr>
            <w:tcW w:type="dxa" w:w="1392"/>
            <w:vAlign w:val="center"/>
          </w:tcPr>
          <w:p>
            <w:r>
              <w:rPr>
                <w:sz w:val="16"/>
              </w:rPr>
              <w:t>97/6/12/0/2</w:t>
            </w:r>
          </w:p>
        </w:tc>
        <w:tc>
          <w:tcPr>
            <w:tcW w:type="dxa" w:w="1392"/>
            <w:vAlign w:val="center"/>
          </w:tcPr>
          <w:p>
            <w:r>
              <w:rPr>
                <w:sz w:val="16"/>
              </w:rPr>
              <w:t>None: denominator rule not met</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The initial nested-CV screening estimate and the mean across five additional independently seeded nested-CV repeats are labelled separately. 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Initial screen BA 0.846; five-repeat 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Initial screen BA 0.883; five-repeat 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Initial screen BA 0.861; five-repeat 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Initial screen BA 0.830; five-repeat 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Initial screen BA 0.862; five-repeat 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Initial screen BA 0.822; five-repeat 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Initial screen BA 0.811; five-repeat 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Initial screen BA 0.793; five-repeat 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Initial screen BA 0.784; five-repeat 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Initial screen BA 0.786; five-repeat 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Initial screen BA 0.792; five-repeat 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Initial screen BA 0.779; five-repeat 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Initial screen Q² 0.670; five-repeat 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Initial screen Q² 0.638; five-repeat 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Initial screen Q² 0.580; five-repeat 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Initial screen Q² 0.527; five-repeat 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Initial screen Q² 0.522; five-repeat 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Initial screen Q² 0.512; five-repeat 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Initial screen Q² 0.510; five-repeat 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Initial screen Q² 0.503; five-repeat 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Initial screen Q² 0.503; five-repeat 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Initial screen Q² 0.500; five-repeat 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Initial screen Q² 0.520; five-repeat 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Initial screen Q² 0.515; five-repeat 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 from the initial nested-CV screen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Primary screen 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prespecified screening tier B</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prespecified screening tier B</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prespecified screening tier B</w:t>
            </w:r>
          </w:p>
        </w:tc>
      </w:tr>
    </w:tbl>
    <w:p/>
    <w:p>
      <w:pPr>
        <w:pStyle w:val="Heading1"/>
      </w:pPr>
      <w:r>
        <w:t>Table S8. Top binary results from the initial nested-CV screen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Primary screen BA</w:t>
            </w:r>
          </w:p>
        </w:tc>
        <w:tc>
          <w:tcPr>
            <w:tcW w:type="dxa" w:w="1083"/>
          </w:tcPr>
          <w:p>
            <w:r>
              <w:rPr>
                <w:b/>
                <w:sz w:val="17"/>
              </w:rPr>
              <w:t>Five-repeat 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primary-screen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primary-screen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prespecified screening tier B</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prespecified screening tier B</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prespecified screening tier B</w:t>
            </w:r>
          </w:p>
        </w:tc>
      </w:tr>
    </w:tbl>
    <w:p/>
    <w:p>
      <w:pPr>
        <w:pStyle w:val="Heading1"/>
      </w:pPr>
      <w:r>
        <w:t>Table S10b. Screen-positive models below the original prespecified screening threshold under validation grouped by TCGA tissue-source-site code</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TCGA tissue-source-site codes</w:t>
            </w:r>
          </w:p>
        </w:tc>
        <w:tc>
          <w:tcPr>
            <w:tcW w:type="dxa" w:w="1083"/>
          </w:tcPr>
          <w:p>
            <w:r>
              <w:rPr>
                <w:b/>
                <w:sz w:val="17"/>
              </w:rPr>
              <w:t>Primary screen metric</w:t>
            </w:r>
          </w:p>
        </w:tc>
        <w:tc>
          <w:tcPr>
            <w:tcW w:type="dxa" w:w="1083"/>
          </w:tcPr>
          <w:p>
            <w:r>
              <w:rPr>
                <w:b/>
                <w:sz w:val="17"/>
              </w:rPr>
              <w:t>Metric grouped by TCGA tissue-source-site code</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Outer-fold composition grouped by TCGA tissue-source-site code for the two colorectal APC examples</w:t>
      </w:r>
    </w:p>
    <w:p>
      <w:r>
        <w:t>The table shows every outer fold for the two near-chance APC examples. The complete 1,613-row file reports test and training patients, TCGA tissue-source-site codes, positive and negative cases, code identifiers, seeds and inner-code-separation diagnostics for every screen-positive model. Inner component selection used the same grouping by TCGA tissue-source-site code and had no code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tissue-source-site codes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tissue-source-site codes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tissue-source-site code from TITAN representations</w:t>
      </w:r>
    </w:p>
    <w:p>
      <w:r>
        <w:t>TCGA tissue-source-site codes represented by fewer than 10 patients were excluded only from this dedicated confounding analysis. Macro balanced accuracy is the mean recall across codes; its chance reference is 1/k for k analysed codes. Good code prediction demonstrates that the representation carries information about TCGA tissue-source-site code, but the code is not an institution,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tissue-source-site codes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Metadata-stratified representative PLS–ridge benchmark</w:t>
      </w:r>
    </w:p>
    <w:p>
      <w:r>
        <w:t>All 2,073 eligible tests entered the sampling frame. A fixed salted SHA-256 rank selected one endpoint per non-empty outcome-family × empirical sample-size-tercile cell; binary endpoints were additionally stratified by empirical minority-class-fraction tercile. Selection did not use PLS performance and yielded 12 continuous and 35 binary targets. Both algorithms used identical patients, outer folds and inner folds. Continuous hyperparameters maximised the same pooled inner out-of-fold Q²; binary operating thresholds maximised the same inner out-of-fold balanced accuracy. For repeat r, d_r=M_r(ridge)−M_r(PLS), with Δ=(1/5)Σ_r d_r. Each of 2,000 paired patient-resampling replicates retained both methods and all five predictions. The interval does not repeat target sampling, generate partitions or refit models, and it does not represent external transportability. This is representative rather than atlas-wide. Positive differences favour ridge.</w:t>
      </w:r>
    </w:p>
    <w:p>
      <w:pPr>
        <w:pStyle w:val="Caption"/>
      </w:pPr>
      <w:r>
        <w:t>Panel A. Sampling-stratum summary for the primary metric.</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Stratifier</w:t>
            </w:r>
          </w:p>
        </w:tc>
        <w:tc>
          <w:tcPr>
            <w:tcW w:type="dxa" w:w="1392"/>
          </w:tcPr>
          <w:p>
            <w:r>
              <w:rPr>
                <w:b/>
                <w:sz w:val="17"/>
              </w:rPr>
              <w:t>Stratum</w:t>
            </w:r>
          </w:p>
        </w:tc>
        <w:tc>
          <w:tcPr>
            <w:tcW w:type="dxa" w:w="1392"/>
          </w:tcPr>
          <w:p>
            <w:r>
              <w:rPr>
                <w:b/>
                <w:sz w:val="17"/>
              </w:rPr>
              <w:t>Models</w:t>
            </w:r>
          </w:p>
        </w:tc>
        <w:tc>
          <w:tcPr>
            <w:tcW w:type="dxa" w:w="1392"/>
          </w:tcPr>
          <w:p>
            <w:r>
              <w:rPr>
                <w:b/>
                <w:sz w:val="17"/>
              </w:rPr>
              <w:t>Median Δ</w:t>
            </w:r>
          </w:p>
        </w:tc>
        <w:tc>
          <w:tcPr>
            <w:tcW w:type="dxa" w:w="1392"/>
          </w:tcPr>
          <w:p>
            <w:r>
              <w:rPr>
                <w:b/>
                <w:sz w:val="17"/>
              </w:rPr>
              <w:t>IQR</w:t>
            </w:r>
          </w:p>
        </w:tc>
        <w:tc>
          <w:tcPr>
            <w:tcW w:type="dxa" w:w="1392"/>
          </w:tcPr>
          <w:p>
            <w:r>
              <w:rPr>
                <w:b/>
                <w:sz w:val="17"/>
              </w:rPr>
              <w:t>PLS/ridge/uncertain</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high</w:t>
            </w:r>
          </w:p>
        </w:tc>
        <w:tc>
          <w:tcPr>
            <w:tcW w:type="dxa" w:w="1392"/>
            <w:vAlign w:val="center"/>
          </w:tcPr>
          <w:p>
            <w:r>
              <w:rPr>
                <w:sz w:val="16"/>
              </w:rPr>
              <w:t>8</w:t>
            </w:r>
          </w:p>
        </w:tc>
        <w:tc>
          <w:tcPr>
            <w:tcW w:type="dxa" w:w="1392"/>
            <w:vAlign w:val="center"/>
          </w:tcPr>
          <w:p>
            <w:r>
              <w:rPr>
                <w:sz w:val="16"/>
              </w:rPr>
              <w:t>0.013</w:t>
            </w:r>
          </w:p>
        </w:tc>
        <w:tc>
          <w:tcPr>
            <w:tcW w:type="dxa" w:w="1392"/>
            <w:vAlign w:val="center"/>
          </w:tcPr>
          <w:p>
            <w:r>
              <w:rPr>
                <w:sz w:val="16"/>
              </w:rPr>
              <w:t>-0.000 to 0.059</w:t>
            </w:r>
          </w:p>
        </w:tc>
        <w:tc>
          <w:tcPr>
            <w:tcW w:type="dxa" w:w="1392"/>
            <w:vAlign w:val="center"/>
          </w:tcPr>
          <w:p>
            <w:r>
              <w:rPr>
                <w:sz w:val="16"/>
              </w:rPr>
              <w:t>0/2/6</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low</w:t>
            </w:r>
          </w:p>
        </w:tc>
        <w:tc>
          <w:tcPr>
            <w:tcW w:type="dxa" w:w="1392"/>
            <w:vAlign w:val="center"/>
          </w:tcPr>
          <w:p>
            <w:r>
              <w:rPr>
                <w:sz w:val="16"/>
              </w:rPr>
              <w:t>13</w:t>
            </w:r>
          </w:p>
        </w:tc>
        <w:tc>
          <w:tcPr>
            <w:tcW w:type="dxa" w:w="1392"/>
            <w:vAlign w:val="center"/>
          </w:tcPr>
          <w:p>
            <w:r>
              <w:rPr>
                <w:sz w:val="16"/>
              </w:rPr>
              <w:t>0.000</w:t>
            </w:r>
          </w:p>
        </w:tc>
        <w:tc>
          <w:tcPr>
            <w:tcW w:type="dxa" w:w="1392"/>
            <w:vAlign w:val="center"/>
          </w:tcPr>
          <w:p>
            <w:r>
              <w:rPr>
                <w:sz w:val="16"/>
              </w:rPr>
              <w:t>-0.003 to 0.010</w:t>
            </w:r>
          </w:p>
        </w:tc>
        <w:tc>
          <w:tcPr>
            <w:tcW w:type="dxa" w:w="1392"/>
            <w:vAlign w:val="center"/>
          </w:tcPr>
          <w:p>
            <w:r>
              <w:rPr>
                <w:sz w:val="16"/>
              </w:rPr>
              <w:t>0/2/11</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moderate</w:t>
            </w:r>
          </w:p>
        </w:tc>
        <w:tc>
          <w:tcPr>
            <w:tcW w:type="dxa" w:w="1392"/>
            <w:vAlign w:val="center"/>
          </w:tcPr>
          <w:p>
            <w:r>
              <w:rPr>
                <w:sz w:val="16"/>
              </w:rPr>
              <w:t>14</w:t>
            </w:r>
          </w:p>
        </w:tc>
        <w:tc>
          <w:tcPr>
            <w:tcW w:type="dxa" w:w="1392"/>
            <w:vAlign w:val="center"/>
          </w:tcPr>
          <w:p>
            <w:r>
              <w:rPr>
                <w:sz w:val="16"/>
              </w:rPr>
              <w:t>0.013</w:t>
            </w:r>
          </w:p>
        </w:tc>
        <w:tc>
          <w:tcPr>
            <w:tcW w:type="dxa" w:w="1392"/>
            <w:vAlign w:val="center"/>
          </w:tcPr>
          <w:p>
            <w:r>
              <w:rPr>
                <w:sz w:val="16"/>
              </w:rPr>
              <w:t>0.001 to 0.030</w:t>
            </w:r>
          </w:p>
        </w:tc>
        <w:tc>
          <w:tcPr>
            <w:tcW w:type="dxa" w:w="1392"/>
            <w:vAlign w:val="center"/>
          </w:tcPr>
          <w:p>
            <w:r>
              <w:rPr>
                <w:sz w:val="16"/>
              </w:rPr>
              <w:t>0/4/10</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7</w:t>
            </w:r>
          </w:p>
        </w:tc>
        <w:tc>
          <w:tcPr>
            <w:tcW w:type="dxa" w:w="1392"/>
            <w:vAlign w:val="center"/>
          </w:tcPr>
          <w:p>
            <w:r>
              <w:rPr>
                <w:sz w:val="16"/>
              </w:rPr>
              <w:t>0.034</w:t>
            </w:r>
          </w:p>
        </w:tc>
        <w:tc>
          <w:tcPr>
            <w:tcW w:type="dxa" w:w="1392"/>
            <w:vAlign w:val="center"/>
          </w:tcPr>
          <w:p>
            <w:r>
              <w:rPr>
                <w:sz w:val="16"/>
              </w:rPr>
              <w:t>0.019 to 0.045</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mut.</w:t>
            </w:r>
          </w:p>
        </w:tc>
        <w:tc>
          <w:tcPr>
            <w:tcW w:type="dxa" w:w="1392"/>
            <w:vAlign w:val="center"/>
          </w:tcPr>
          <w:p>
            <w:r>
              <w:rPr>
                <w:sz w:val="16"/>
              </w:rPr>
              <w:t>9</w:t>
            </w:r>
          </w:p>
        </w:tc>
        <w:tc>
          <w:tcPr>
            <w:tcW w:type="dxa" w:w="1392"/>
            <w:vAlign w:val="center"/>
          </w:tcPr>
          <w:p>
            <w:r>
              <w:rPr>
                <w:sz w:val="16"/>
              </w:rPr>
              <w:t>0.008</w:t>
            </w:r>
          </w:p>
        </w:tc>
        <w:tc>
          <w:tcPr>
            <w:tcW w:type="dxa" w:w="1392"/>
            <w:vAlign w:val="center"/>
          </w:tcPr>
          <w:p>
            <w:r>
              <w:rPr>
                <w:sz w:val="16"/>
              </w:rPr>
              <w:t>-0.003 to 0.014</w:t>
            </w:r>
          </w:p>
        </w:tc>
        <w:tc>
          <w:tcPr>
            <w:tcW w:type="dxa" w:w="1392"/>
            <w:vAlign w:val="center"/>
          </w:tcPr>
          <w:p>
            <w:r>
              <w:rPr>
                <w:sz w:val="16"/>
              </w:rPr>
              <w:t>0/0/9</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7</w:t>
            </w:r>
          </w:p>
        </w:tc>
        <w:tc>
          <w:tcPr>
            <w:tcW w:type="dxa" w:w="1392"/>
            <w:vAlign w:val="center"/>
          </w:tcPr>
          <w:p>
            <w:r>
              <w:rPr>
                <w:sz w:val="16"/>
              </w:rPr>
              <w:t>0.005</w:t>
            </w:r>
          </w:p>
        </w:tc>
        <w:tc>
          <w:tcPr>
            <w:tcW w:type="dxa" w:w="1392"/>
            <w:vAlign w:val="center"/>
          </w:tcPr>
          <w:p>
            <w:r>
              <w:rPr>
                <w:sz w:val="16"/>
              </w:rPr>
              <w:t>-0.005 to 0.029</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2</w:t>
            </w:r>
          </w:p>
        </w:tc>
        <w:tc>
          <w:tcPr>
            <w:tcW w:type="dxa" w:w="1392"/>
            <w:vAlign w:val="center"/>
          </w:tcPr>
          <w:p>
            <w:r>
              <w:rPr>
                <w:sz w:val="16"/>
              </w:rPr>
              <w:t>0.016</w:t>
            </w:r>
          </w:p>
        </w:tc>
        <w:tc>
          <w:tcPr>
            <w:tcW w:type="dxa" w:w="1392"/>
            <w:vAlign w:val="center"/>
          </w:tcPr>
          <w:p>
            <w:r>
              <w:rPr>
                <w:sz w:val="16"/>
              </w:rPr>
              <w:t>0.011 to 0.021</w:t>
            </w:r>
          </w:p>
        </w:tc>
        <w:tc>
          <w:tcPr>
            <w:tcW w:type="dxa" w:w="1392"/>
            <w:vAlign w:val="center"/>
          </w:tcPr>
          <w:p>
            <w:r>
              <w:rPr>
                <w:sz w:val="16"/>
              </w:rPr>
              <w:t>0/1/1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MSI</w:t>
            </w:r>
          </w:p>
        </w:tc>
        <w:tc>
          <w:tcPr>
            <w:tcW w:type="dxa" w:w="1392"/>
            <w:vAlign w:val="center"/>
          </w:tcPr>
          <w:p>
            <w:r>
              <w:rPr>
                <w:sz w:val="16"/>
              </w:rPr>
              <w:t>1</w:t>
            </w:r>
          </w:p>
        </w:tc>
        <w:tc>
          <w:tcPr>
            <w:tcW w:type="dxa" w:w="1392"/>
            <w:vAlign w:val="center"/>
          </w:tcPr>
          <w:p>
            <w:r>
              <w:rPr>
                <w:sz w:val="16"/>
              </w:rPr>
              <w:t>0.011</w:t>
            </w:r>
          </w:p>
        </w:tc>
        <w:tc>
          <w:tcPr>
            <w:tcW w:type="dxa" w:w="1392"/>
            <w:vAlign w:val="center"/>
          </w:tcPr>
          <w:p>
            <w:r>
              <w:rPr>
                <w:sz w:val="16"/>
              </w:rPr>
              <w:t>0.011 to 0.011</w:t>
            </w:r>
          </w:p>
        </w:tc>
        <w:tc>
          <w:tcPr>
            <w:tcW w:type="dxa" w:w="1392"/>
            <w:vAlign w:val="center"/>
          </w:tcPr>
          <w:p>
            <w:r>
              <w:rPr>
                <w:sz w:val="16"/>
              </w:rPr>
              <w:t>0/0/1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pathway</w:t>
            </w:r>
          </w:p>
        </w:tc>
        <w:tc>
          <w:tcPr>
            <w:tcW w:type="dxa" w:w="1392"/>
            <w:vAlign w:val="center"/>
          </w:tcPr>
          <w:p>
            <w:r>
              <w:rPr>
                <w:sz w:val="16"/>
              </w:rPr>
              <w:t>9</w:t>
            </w:r>
          </w:p>
        </w:tc>
        <w:tc>
          <w:tcPr>
            <w:tcW w:type="dxa" w:w="1392"/>
            <w:vAlign w:val="center"/>
          </w:tcPr>
          <w:p>
            <w:r>
              <w:rPr>
                <w:sz w:val="16"/>
              </w:rPr>
              <w:t>0.000</w:t>
            </w:r>
          </w:p>
        </w:tc>
        <w:tc>
          <w:tcPr>
            <w:tcW w:type="dxa" w:w="1392"/>
            <w:vAlign w:val="center"/>
          </w:tcPr>
          <w:p>
            <w:r>
              <w:rPr>
                <w:sz w:val="16"/>
              </w:rPr>
              <w:t>-0.005 to 0.008</w:t>
            </w:r>
          </w:p>
        </w:tc>
        <w:tc>
          <w:tcPr>
            <w:tcW w:type="dxa" w:w="1392"/>
            <w:vAlign w:val="center"/>
          </w:tcPr>
          <w:p>
            <w:r>
              <w:rPr>
                <w:sz w:val="16"/>
              </w:rPr>
              <w:t>0/1/8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12</w:t>
            </w:r>
          </w:p>
        </w:tc>
        <w:tc>
          <w:tcPr>
            <w:tcW w:type="dxa" w:w="1392"/>
            <w:vAlign w:val="center"/>
          </w:tcPr>
          <w:p>
            <w:r>
              <w:rPr>
                <w:sz w:val="16"/>
              </w:rPr>
              <w:t>0.009</w:t>
            </w:r>
          </w:p>
        </w:tc>
        <w:tc>
          <w:tcPr>
            <w:tcW w:type="dxa" w:w="1392"/>
            <w:vAlign w:val="center"/>
          </w:tcPr>
          <w:p>
            <w:r>
              <w:rPr>
                <w:sz w:val="16"/>
              </w:rPr>
              <w:t>0.000 to 0.027</w:t>
            </w:r>
          </w:p>
        </w:tc>
        <w:tc>
          <w:tcPr>
            <w:tcW w:type="dxa" w:w="1392"/>
            <w:vAlign w:val="center"/>
          </w:tcPr>
          <w:p>
            <w:r>
              <w:rPr>
                <w:sz w:val="16"/>
              </w:rPr>
              <w:t>0/4/8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13</w:t>
            </w:r>
          </w:p>
        </w:tc>
        <w:tc>
          <w:tcPr>
            <w:tcW w:type="dxa" w:w="1392"/>
            <w:vAlign w:val="center"/>
          </w:tcPr>
          <w:p>
            <w:r>
              <w:rPr>
                <w:sz w:val="16"/>
              </w:rPr>
              <w:t>0.011</w:t>
            </w:r>
          </w:p>
        </w:tc>
        <w:tc>
          <w:tcPr>
            <w:tcW w:type="dxa" w:w="1392"/>
            <w:vAlign w:val="center"/>
          </w:tcPr>
          <w:p>
            <w:r>
              <w:rPr>
                <w:sz w:val="16"/>
              </w:rPr>
              <w:t>0.005 to 0.035</w:t>
            </w:r>
          </w:p>
        </w:tc>
        <w:tc>
          <w:tcPr>
            <w:tcW w:type="dxa" w:w="1392"/>
            <w:vAlign w:val="center"/>
          </w:tcPr>
          <w:p>
            <w:r>
              <w:rPr>
                <w:sz w:val="16"/>
              </w:rPr>
              <w:t>0/3/10</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10</w:t>
            </w:r>
          </w:p>
        </w:tc>
        <w:tc>
          <w:tcPr>
            <w:tcW w:type="dxa" w:w="1392"/>
            <w:vAlign w:val="center"/>
          </w:tcPr>
          <w:p>
            <w:r>
              <w:rPr>
                <w:sz w:val="16"/>
              </w:rPr>
              <w:t>-0.001</w:t>
            </w:r>
          </w:p>
        </w:tc>
        <w:tc>
          <w:tcPr>
            <w:tcW w:type="dxa" w:w="1392"/>
            <w:vAlign w:val="center"/>
          </w:tcPr>
          <w:p>
            <w:r>
              <w:rPr>
                <w:sz w:val="16"/>
              </w:rPr>
              <w:t>-0.006 to 0.016</w:t>
            </w:r>
          </w:p>
        </w:tc>
        <w:tc>
          <w:tcPr>
            <w:tcW w:type="dxa" w:w="1392"/>
            <w:vAlign w:val="center"/>
          </w:tcPr>
          <w:p>
            <w:r>
              <w:rPr>
                <w:sz w:val="16"/>
              </w:rPr>
              <w:t>0/1/9</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3</w:t>
            </w:r>
          </w:p>
        </w:tc>
        <w:tc>
          <w:tcPr>
            <w:tcW w:type="dxa" w:w="1392"/>
            <w:vAlign w:val="center"/>
          </w:tcPr>
          <w:p>
            <w:r>
              <w:rPr>
                <w:sz w:val="16"/>
              </w:rPr>
              <w:t>0.033</w:t>
            </w:r>
          </w:p>
        </w:tc>
        <w:tc>
          <w:tcPr>
            <w:tcW w:type="dxa" w:w="1392"/>
            <w:vAlign w:val="center"/>
          </w:tcPr>
          <w:p>
            <w:r>
              <w:rPr>
                <w:sz w:val="16"/>
              </w:rPr>
              <w:t>0.028 to 0.061</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3</w:t>
            </w:r>
          </w:p>
        </w:tc>
        <w:tc>
          <w:tcPr>
            <w:tcW w:type="dxa" w:w="1392"/>
            <w:vAlign w:val="center"/>
          </w:tcPr>
          <w:p>
            <w:r>
              <w:rPr>
                <w:sz w:val="16"/>
              </w:rPr>
              <w:t>0.058</w:t>
            </w:r>
          </w:p>
        </w:tc>
        <w:tc>
          <w:tcPr>
            <w:tcW w:type="dxa" w:w="1392"/>
            <w:vAlign w:val="center"/>
          </w:tcPr>
          <w:p>
            <w:r>
              <w:rPr>
                <w:sz w:val="16"/>
              </w:rPr>
              <w:t>0.025 to 0.173</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3</w:t>
            </w:r>
          </w:p>
        </w:tc>
        <w:tc>
          <w:tcPr>
            <w:tcW w:type="dxa" w:w="1392"/>
            <w:vAlign w:val="center"/>
          </w:tcPr>
          <w:p>
            <w:r>
              <w:rPr>
                <w:sz w:val="16"/>
              </w:rPr>
              <w:t>0.064</w:t>
            </w:r>
          </w:p>
        </w:tc>
        <w:tc>
          <w:tcPr>
            <w:tcW w:type="dxa" w:w="1392"/>
            <w:vAlign w:val="center"/>
          </w:tcPr>
          <w:p>
            <w:r>
              <w:rPr>
                <w:sz w:val="16"/>
              </w:rPr>
              <w:t>0.049 to 0.172</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immune</w:t>
            </w:r>
          </w:p>
        </w:tc>
        <w:tc>
          <w:tcPr>
            <w:tcW w:type="dxa" w:w="1392"/>
            <w:vAlign w:val="center"/>
          </w:tcPr>
          <w:p>
            <w:r>
              <w:rPr>
                <w:sz w:val="16"/>
              </w:rPr>
              <w:t>3</w:t>
            </w:r>
          </w:p>
        </w:tc>
        <w:tc>
          <w:tcPr>
            <w:tcW w:type="dxa" w:w="1392"/>
            <w:vAlign w:val="center"/>
          </w:tcPr>
          <w:p>
            <w:r>
              <w:rPr>
                <w:sz w:val="16"/>
              </w:rPr>
              <w:t>0.048</w:t>
            </w:r>
          </w:p>
        </w:tc>
        <w:tc>
          <w:tcPr>
            <w:tcW w:type="dxa" w:w="1392"/>
            <w:vAlign w:val="center"/>
          </w:tcPr>
          <w:p>
            <w:r>
              <w:rPr>
                <w:sz w:val="16"/>
              </w:rPr>
              <w:t>0.036 to 0.184</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4</w:t>
            </w:r>
          </w:p>
        </w:tc>
        <w:tc>
          <w:tcPr>
            <w:tcW w:type="dxa" w:w="1392"/>
            <w:vAlign w:val="center"/>
          </w:tcPr>
          <w:p>
            <w:r>
              <w:rPr>
                <w:sz w:val="16"/>
              </w:rPr>
              <w:t>0.035</w:t>
            </w:r>
          </w:p>
        </w:tc>
        <w:tc>
          <w:tcPr>
            <w:tcW w:type="dxa" w:w="1392"/>
            <w:vAlign w:val="center"/>
          </w:tcPr>
          <w:p>
            <w:r>
              <w:rPr>
                <w:sz w:val="16"/>
              </w:rPr>
              <w:t>0.015 to 0.052</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4</w:t>
            </w:r>
          </w:p>
        </w:tc>
        <w:tc>
          <w:tcPr>
            <w:tcW w:type="dxa" w:w="1392"/>
            <w:vAlign w:val="center"/>
          </w:tcPr>
          <w:p>
            <w:r>
              <w:rPr>
                <w:sz w:val="16"/>
              </w:rPr>
              <w:t>0.034</w:t>
            </w:r>
          </w:p>
        </w:tc>
        <w:tc>
          <w:tcPr>
            <w:tcW w:type="dxa" w:w="1392"/>
            <w:vAlign w:val="center"/>
          </w:tcPr>
          <w:p>
            <w:r>
              <w:rPr>
                <w:sz w:val="16"/>
              </w:rPr>
              <w:t>0.031 to 0.041</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4</w:t>
            </w:r>
          </w:p>
        </w:tc>
        <w:tc>
          <w:tcPr>
            <w:tcW w:type="dxa" w:w="1392"/>
            <w:vAlign w:val="center"/>
          </w:tcPr>
          <w:p>
            <w:r>
              <w:rPr>
                <w:sz w:val="16"/>
              </w:rPr>
              <w:t>0.284</w:t>
            </w:r>
          </w:p>
        </w:tc>
        <w:tc>
          <w:tcPr>
            <w:tcW w:type="dxa" w:w="1392"/>
            <w:vAlign w:val="center"/>
          </w:tcPr>
          <w:p>
            <w:r>
              <w:rPr>
                <w:sz w:val="16"/>
              </w:rPr>
              <w:t>0.232 to 0.297</w:t>
            </w:r>
          </w:p>
        </w:tc>
        <w:tc>
          <w:tcPr>
            <w:tcW w:type="dxa" w:w="1392"/>
            <w:vAlign w:val="center"/>
          </w:tcPr>
          <w:p>
            <w:r>
              <w:rPr>
                <w:sz w:val="16"/>
              </w:rPr>
              <w:t>0/4/0</w:t>
            </w:r>
          </w:p>
        </w:tc>
      </w:tr>
    </w:tbl>
    <w:p/>
    <w:p>
      <w:pPr>
        <w:pStyle w:val="Caption"/>
      </w:pPr>
      <w:r>
        <w:t>Panel B. Target-level primary metric: AUROC for binary outcomes and Q² for continuous outcomes.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AUROC</w:t>
            </w:r>
          </w:p>
        </w:tc>
        <w:tc>
          <w:tcPr>
            <w:tcW w:type="dxa" w:w="1083"/>
            <w:vAlign w:val="center"/>
          </w:tcPr>
          <w:p>
            <w:r>
              <w:rPr>
                <w:sz w:val="16"/>
              </w:rPr>
              <w:t>0.883</w:t>
            </w:r>
          </w:p>
        </w:tc>
        <w:tc>
          <w:tcPr>
            <w:tcW w:type="dxa" w:w="1083"/>
            <w:vAlign w:val="center"/>
          </w:tcPr>
          <w:p>
            <w:r>
              <w:rPr>
                <w:sz w:val="16"/>
              </w:rPr>
              <w:t>0.894</w:t>
            </w:r>
          </w:p>
        </w:tc>
        <w:tc>
          <w:tcPr>
            <w:tcW w:type="dxa" w:w="1083"/>
            <w:vAlign w:val="center"/>
          </w:tcPr>
          <w:p>
            <w:r>
              <w:rPr>
                <w:sz w:val="16"/>
              </w:rPr>
              <w:t>0.011</w:t>
            </w:r>
          </w:p>
        </w:tc>
        <w:tc>
          <w:tcPr>
            <w:tcW w:type="dxa" w:w="1083"/>
            <w:vAlign w:val="center"/>
          </w:tcPr>
          <w:p>
            <w:r>
              <w:rPr>
                <w:sz w:val="16"/>
              </w:rPr>
              <w:t>-0.006 to 0.029</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AUROC</w:t>
            </w:r>
          </w:p>
        </w:tc>
        <w:tc>
          <w:tcPr>
            <w:tcW w:type="dxa" w:w="1083"/>
            <w:vAlign w:val="center"/>
          </w:tcPr>
          <w:p>
            <w:r>
              <w:rPr>
                <w:sz w:val="16"/>
              </w:rPr>
              <w:t>0.840</w:t>
            </w:r>
          </w:p>
        </w:tc>
        <w:tc>
          <w:tcPr>
            <w:tcW w:type="dxa" w:w="1083"/>
            <w:vAlign w:val="center"/>
          </w:tcPr>
          <w:p>
            <w:r>
              <w:rPr>
                <w:sz w:val="16"/>
              </w:rPr>
              <w:t>0.845</w:t>
            </w:r>
          </w:p>
        </w:tc>
        <w:tc>
          <w:tcPr>
            <w:tcW w:type="dxa" w:w="1083"/>
            <w:vAlign w:val="center"/>
          </w:tcPr>
          <w:p>
            <w:r>
              <w:rPr>
                <w:sz w:val="16"/>
              </w:rPr>
              <w:t>0.006</w:t>
            </w:r>
          </w:p>
        </w:tc>
        <w:tc>
          <w:tcPr>
            <w:tcW w:type="dxa" w:w="1083"/>
            <w:vAlign w:val="center"/>
          </w:tcPr>
          <w:p>
            <w:r>
              <w:rPr>
                <w:sz w:val="16"/>
              </w:rPr>
              <w:t>-0.010 to 0.022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AUROC</w:t>
            </w:r>
          </w:p>
        </w:tc>
        <w:tc>
          <w:tcPr>
            <w:tcW w:type="dxa" w:w="1083"/>
            <w:vAlign w:val="center"/>
          </w:tcPr>
          <w:p>
            <w:r>
              <w:rPr>
                <w:sz w:val="16"/>
              </w:rPr>
              <w:t>0.781</w:t>
            </w:r>
          </w:p>
        </w:tc>
        <w:tc>
          <w:tcPr>
            <w:tcW w:type="dxa" w:w="1083"/>
            <w:vAlign w:val="center"/>
          </w:tcPr>
          <w:p>
            <w:r>
              <w:rPr>
                <w:sz w:val="16"/>
              </w:rPr>
              <w:t>0.837</w:t>
            </w:r>
          </w:p>
        </w:tc>
        <w:tc>
          <w:tcPr>
            <w:tcW w:type="dxa" w:w="1083"/>
            <w:vAlign w:val="center"/>
          </w:tcPr>
          <w:p>
            <w:r>
              <w:rPr>
                <w:sz w:val="16"/>
              </w:rPr>
              <w:t>0.057</w:t>
            </w:r>
          </w:p>
        </w:tc>
        <w:tc>
          <w:tcPr>
            <w:tcW w:type="dxa" w:w="1083"/>
            <w:vAlign w:val="center"/>
          </w:tcPr>
          <w:p>
            <w:r>
              <w:rPr>
                <w:sz w:val="16"/>
              </w:rPr>
              <w:t>0.008 to 0.112</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AUROC</w:t>
            </w:r>
          </w:p>
        </w:tc>
        <w:tc>
          <w:tcPr>
            <w:tcW w:type="dxa" w:w="1083"/>
            <w:vAlign w:val="center"/>
          </w:tcPr>
          <w:p>
            <w:r>
              <w:rPr>
                <w:sz w:val="16"/>
              </w:rPr>
              <w:t>0.759</w:t>
            </w:r>
          </w:p>
        </w:tc>
        <w:tc>
          <w:tcPr>
            <w:tcW w:type="dxa" w:w="1083"/>
            <w:vAlign w:val="center"/>
          </w:tcPr>
          <w:p>
            <w:r>
              <w:rPr>
                <w:sz w:val="16"/>
              </w:rPr>
              <w:t>0.756</w:t>
            </w:r>
          </w:p>
        </w:tc>
        <w:tc>
          <w:tcPr>
            <w:tcW w:type="dxa" w:w="1083"/>
            <w:vAlign w:val="center"/>
          </w:tcPr>
          <w:p>
            <w:r>
              <w:rPr>
                <w:sz w:val="16"/>
              </w:rPr>
              <w:t>-0.003</w:t>
            </w:r>
          </w:p>
        </w:tc>
        <w:tc>
          <w:tcPr>
            <w:tcW w:type="dxa" w:w="1083"/>
            <w:vAlign w:val="center"/>
          </w:tcPr>
          <w:p>
            <w:r>
              <w:rPr>
                <w:sz w:val="16"/>
              </w:rPr>
              <w:t>-0.012 to 0.005</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AUROC</w:t>
            </w:r>
          </w:p>
        </w:tc>
        <w:tc>
          <w:tcPr>
            <w:tcW w:type="dxa" w:w="1083"/>
            <w:vAlign w:val="center"/>
          </w:tcPr>
          <w:p>
            <w:r>
              <w:rPr>
                <w:sz w:val="16"/>
              </w:rPr>
              <w:t>0.747</w:t>
            </w:r>
          </w:p>
        </w:tc>
        <w:tc>
          <w:tcPr>
            <w:tcW w:type="dxa" w:w="1083"/>
            <w:vAlign w:val="center"/>
          </w:tcPr>
          <w:p>
            <w:r>
              <w:rPr>
                <w:sz w:val="16"/>
              </w:rPr>
              <w:t>0.746</w:t>
            </w:r>
          </w:p>
        </w:tc>
        <w:tc>
          <w:tcPr>
            <w:tcW w:type="dxa" w:w="1083"/>
            <w:vAlign w:val="center"/>
          </w:tcPr>
          <w:p>
            <w:r>
              <w:rPr>
                <w:sz w:val="16"/>
              </w:rPr>
              <w:t>-0.001</w:t>
            </w:r>
          </w:p>
        </w:tc>
        <w:tc>
          <w:tcPr>
            <w:tcW w:type="dxa" w:w="1083"/>
            <w:vAlign w:val="center"/>
          </w:tcPr>
          <w:p>
            <w:r>
              <w:rPr>
                <w:sz w:val="16"/>
              </w:rPr>
              <w:t>-0.026 to 0.024</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AUROC</w:t>
            </w:r>
          </w:p>
        </w:tc>
        <w:tc>
          <w:tcPr>
            <w:tcW w:type="dxa" w:w="1083"/>
            <w:vAlign w:val="center"/>
          </w:tcPr>
          <w:p>
            <w:r>
              <w:rPr>
                <w:sz w:val="16"/>
              </w:rPr>
              <w:t>0.718</w:t>
            </w:r>
          </w:p>
        </w:tc>
        <w:tc>
          <w:tcPr>
            <w:tcW w:type="dxa" w:w="1083"/>
            <w:vAlign w:val="center"/>
          </w:tcPr>
          <w:p>
            <w:r>
              <w:rPr>
                <w:sz w:val="16"/>
              </w:rPr>
              <w:t>0.744</w:t>
            </w:r>
          </w:p>
        </w:tc>
        <w:tc>
          <w:tcPr>
            <w:tcW w:type="dxa" w:w="1083"/>
            <w:vAlign w:val="center"/>
          </w:tcPr>
          <w:p>
            <w:r>
              <w:rPr>
                <w:sz w:val="16"/>
              </w:rPr>
              <w:t>0.027</w:t>
            </w:r>
          </w:p>
        </w:tc>
        <w:tc>
          <w:tcPr>
            <w:tcW w:type="dxa" w:w="1083"/>
            <w:vAlign w:val="center"/>
          </w:tcPr>
          <w:p>
            <w:r>
              <w:rPr>
                <w:sz w:val="16"/>
              </w:rPr>
              <w:t>0.004 to 0.048</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AUROC</w:t>
            </w:r>
          </w:p>
        </w:tc>
        <w:tc>
          <w:tcPr>
            <w:tcW w:type="dxa" w:w="1083"/>
            <w:vAlign w:val="center"/>
          </w:tcPr>
          <w:p>
            <w:r>
              <w:rPr>
                <w:sz w:val="16"/>
              </w:rPr>
              <w:t>0.705</w:t>
            </w:r>
          </w:p>
        </w:tc>
        <w:tc>
          <w:tcPr>
            <w:tcW w:type="dxa" w:w="1083"/>
            <w:vAlign w:val="center"/>
          </w:tcPr>
          <w:p>
            <w:r>
              <w:rPr>
                <w:sz w:val="16"/>
              </w:rPr>
              <w:t>0.713</w:t>
            </w:r>
          </w:p>
        </w:tc>
        <w:tc>
          <w:tcPr>
            <w:tcW w:type="dxa" w:w="1083"/>
            <w:vAlign w:val="center"/>
          </w:tcPr>
          <w:p>
            <w:r>
              <w:rPr>
                <w:sz w:val="16"/>
              </w:rPr>
              <w:t>0.008</w:t>
            </w:r>
          </w:p>
        </w:tc>
        <w:tc>
          <w:tcPr>
            <w:tcW w:type="dxa" w:w="1083"/>
            <w:vAlign w:val="center"/>
          </w:tcPr>
          <w:p>
            <w:r>
              <w:rPr>
                <w:sz w:val="16"/>
              </w:rPr>
              <w:t>-0.006 to 0.023</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AUROC</w:t>
            </w:r>
          </w:p>
        </w:tc>
        <w:tc>
          <w:tcPr>
            <w:tcW w:type="dxa" w:w="1083"/>
            <w:vAlign w:val="center"/>
          </w:tcPr>
          <w:p>
            <w:r>
              <w:rPr>
                <w:sz w:val="16"/>
              </w:rPr>
              <w:t>0.674</w:t>
            </w:r>
          </w:p>
        </w:tc>
        <w:tc>
          <w:tcPr>
            <w:tcW w:type="dxa" w:w="1083"/>
            <w:vAlign w:val="center"/>
          </w:tcPr>
          <w:p>
            <w:r>
              <w:rPr>
                <w:sz w:val="16"/>
              </w:rPr>
              <w:t>0.689</w:t>
            </w:r>
          </w:p>
        </w:tc>
        <w:tc>
          <w:tcPr>
            <w:tcW w:type="dxa" w:w="1083"/>
            <w:vAlign w:val="center"/>
          </w:tcPr>
          <w:p>
            <w:r>
              <w:rPr>
                <w:sz w:val="16"/>
              </w:rPr>
              <w:t>0.014</w:t>
            </w:r>
          </w:p>
        </w:tc>
        <w:tc>
          <w:tcPr>
            <w:tcW w:type="dxa" w:w="1083"/>
            <w:vAlign w:val="center"/>
          </w:tcPr>
          <w:p>
            <w:r>
              <w:rPr>
                <w:sz w:val="16"/>
              </w:rPr>
              <w:t>-0.009 to 0.039</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AUROC</w:t>
            </w:r>
          </w:p>
        </w:tc>
        <w:tc>
          <w:tcPr>
            <w:tcW w:type="dxa" w:w="1083"/>
            <w:vAlign w:val="center"/>
          </w:tcPr>
          <w:p>
            <w:r>
              <w:rPr>
                <w:sz w:val="16"/>
              </w:rPr>
              <w:t>0.664</w:t>
            </w:r>
          </w:p>
        </w:tc>
        <w:tc>
          <w:tcPr>
            <w:tcW w:type="dxa" w:w="1083"/>
            <w:vAlign w:val="center"/>
          </w:tcPr>
          <w:p>
            <w:r>
              <w:rPr>
                <w:sz w:val="16"/>
              </w:rPr>
              <w:t>0.661</w:t>
            </w:r>
          </w:p>
        </w:tc>
        <w:tc>
          <w:tcPr>
            <w:tcW w:type="dxa" w:w="1083"/>
            <w:vAlign w:val="center"/>
          </w:tcPr>
          <w:p>
            <w:r>
              <w:rPr>
                <w:sz w:val="16"/>
              </w:rPr>
              <w:t>-0.003</w:t>
            </w:r>
          </w:p>
        </w:tc>
        <w:tc>
          <w:tcPr>
            <w:tcW w:type="dxa" w:w="1083"/>
            <w:vAlign w:val="center"/>
          </w:tcPr>
          <w:p>
            <w:r>
              <w:rPr>
                <w:sz w:val="16"/>
              </w:rPr>
              <w:t>-0.047 to 0.038</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AUROC</w:t>
            </w:r>
          </w:p>
        </w:tc>
        <w:tc>
          <w:tcPr>
            <w:tcW w:type="dxa" w:w="1083"/>
            <w:vAlign w:val="center"/>
          </w:tcPr>
          <w:p>
            <w:r>
              <w:rPr>
                <w:sz w:val="16"/>
              </w:rPr>
              <w:t>0.658</w:t>
            </w:r>
          </w:p>
        </w:tc>
        <w:tc>
          <w:tcPr>
            <w:tcW w:type="dxa" w:w="1083"/>
            <w:vAlign w:val="center"/>
          </w:tcPr>
          <w:p>
            <w:r>
              <w:rPr>
                <w:sz w:val="16"/>
              </w:rPr>
              <w:t>0.692</w:t>
            </w:r>
          </w:p>
        </w:tc>
        <w:tc>
          <w:tcPr>
            <w:tcW w:type="dxa" w:w="1083"/>
            <w:vAlign w:val="center"/>
          </w:tcPr>
          <w:p>
            <w:r>
              <w:rPr>
                <w:sz w:val="16"/>
              </w:rPr>
              <w:t>0.034</w:t>
            </w:r>
          </w:p>
        </w:tc>
        <w:tc>
          <w:tcPr>
            <w:tcW w:type="dxa" w:w="1083"/>
            <w:vAlign w:val="center"/>
          </w:tcPr>
          <w:p>
            <w:r>
              <w:rPr>
                <w:sz w:val="16"/>
              </w:rPr>
              <w:t>0.017 to 0.051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AUROC</w:t>
            </w:r>
          </w:p>
        </w:tc>
        <w:tc>
          <w:tcPr>
            <w:tcW w:type="dxa" w:w="1083"/>
            <w:vAlign w:val="center"/>
          </w:tcPr>
          <w:p>
            <w:r>
              <w:rPr>
                <w:sz w:val="16"/>
              </w:rPr>
              <w:t>0.652</w:t>
            </w:r>
          </w:p>
        </w:tc>
        <w:tc>
          <w:tcPr>
            <w:tcW w:type="dxa" w:w="1083"/>
            <w:vAlign w:val="center"/>
          </w:tcPr>
          <w:p>
            <w:r>
              <w:rPr>
                <w:sz w:val="16"/>
              </w:rPr>
              <w:t>0.719</w:t>
            </w:r>
          </w:p>
        </w:tc>
        <w:tc>
          <w:tcPr>
            <w:tcW w:type="dxa" w:w="1083"/>
            <w:vAlign w:val="center"/>
          </w:tcPr>
          <w:p>
            <w:r>
              <w:rPr>
                <w:sz w:val="16"/>
              </w:rPr>
              <w:t>0.067</w:t>
            </w:r>
          </w:p>
        </w:tc>
        <w:tc>
          <w:tcPr>
            <w:tcW w:type="dxa" w:w="1083"/>
            <w:vAlign w:val="center"/>
          </w:tcPr>
          <w:p>
            <w:r>
              <w:rPr>
                <w:sz w:val="16"/>
              </w:rPr>
              <w:t>0.023 to 0.117</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AUROC</w:t>
            </w:r>
          </w:p>
        </w:tc>
        <w:tc>
          <w:tcPr>
            <w:tcW w:type="dxa" w:w="1083"/>
            <w:vAlign w:val="center"/>
          </w:tcPr>
          <w:p>
            <w:r>
              <w:rPr>
                <w:sz w:val="16"/>
              </w:rPr>
              <w:t>0.651</w:t>
            </w:r>
          </w:p>
        </w:tc>
        <w:tc>
          <w:tcPr>
            <w:tcW w:type="dxa" w:w="1083"/>
            <w:vAlign w:val="center"/>
          </w:tcPr>
          <w:p>
            <w:r>
              <w:rPr>
                <w:sz w:val="16"/>
              </w:rPr>
              <w:t>0.651</w:t>
            </w:r>
          </w:p>
        </w:tc>
        <w:tc>
          <w:tcPr>
            <w:tcW w:type="dxa" w:w="1083"/>
            <w:vAlign w:val="center"/>
          </w:tcPr>
          <w:p>
            <w:r>
              <w:rPr>
                <w:sz w:val="16"/>
              </w:rPr>
              <w:t>0.000</w:t>
            </w:r>
          </w:p>
        </w:tc>
        <w:tc>
          <w:tcPr>
            <w:tcW w:type="dxa" w:w="1083"/>
            <w:vAlign w:val="center"/>
          </w:tcPr>
          <w:p>
            <w:r>
              <w:rPr>
                <w:sz w:val="16"/>
              </w:rPr>
              <w:t>-0.021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AUROC</w:t>
            </w:r>
          </w:p>
        </w:tc>
        <w:tc>
          <w:tcPr>
            <w:tcW w:type="dxa" w:w="1083"/>
            <w:vAlign w:val="center"/>
          </w:tcPr>
          <w:p>
            <w:r>
              <w:rPr>
                <w:sz w:val="16"/>
              </w:rPr>
              <w:t>0.643</w:t>
            </w:r>
          </w:p>
        </w:tc>
        <w:tc>
          <w:tcPr>
            <w:tcW w:type="dxa" w:w="1083"/>
            <w:vAlign w:val="center"/>
          </w:tcPr>
          <w:p>
            <w:r>
              <w:rPr>
                <w:sz w:val="16"/>
              </w:rPr>
              <w:t>0.640</w:t>
            </w:r>
          </w:p>
        </w:tc>
        <w:tc>
          <w:tcPr>
            <w:tcW w:type="dxa" w:w="1083"/>
            <w:vAlign w:val="center"/>
          </w:tcPr>
          <w:p>
            <w:r>
              <w:rPr>
                <w:sz w:val="16"/>
              </w:rPr>
              <w:t>-0.003</w:t>
            </w:r>
          </w:p>
        </w:tc>
        <w:tc>
          <w:tcPr>
            <w:tcW w:type="dxa" w:w="1083"/>
            <w:vAlign w:val="center"/>
          </w:tcPr>
          <w:p>
            <w:r>
              <w:rPr>
                <w:sz w:val="16"/>
              </w:rPr>
              <w:t>-0.022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AUROC</w:t>
            </w:r>
          </w:p>
        </w:tc>
        <w:tc>
          <w:tcPr>
            <w:tcW w:type="dxa" w:w="1083"/>
            <w:vAlign w:val="center"/>
          </w:tcPr>
          <w:p>
            <w:r>
              <w:rPr>
                <w:sz w:val="16"/>
              </w:rPr>
              <w:t>0.640</w:t>
            </w:r>
          </w:p>
        </w:tc>
        <w:tc>
          <w:tcPr>
            <w:tcW w:type="dxa" w:w="1083"/>
            <w:vAlign w:val="center"/>
          </w:tcPr>
          <w:p>
            <w:r>
              <w:rPr>
                <w:sz w:val="16"/>
              </w:rPr>
              <w:t>0.675</w:t>
            </w:r>
          </w:p>
        </w:tc>
        <w:tc>
          <w:tcPr>
            <w:tcW w:type="dxa" w:w="1083"/>
            <w:vAlign w:val="center"/>
          </w:tcPr>
          <w:p>
            <w:r>
              <w:rPr>
                <w:sz w:val="16"/>
              </w:rPr>
              <w:t>0.035</w:t>
            </w:r>
          </w:p>
        </w:tc>
        <w:tc>
          <w:tcPr>
            <w:tcW w:type="dxa" w:w="1083"/>
            <w:vAlign w:val="center"/>
          </w:tcPr>
          <w:p>
            <w:r>
              <w:rPr>
                <w:sz w:val="16"/>
              </w:rPr>
              <w:t>0.005 to 0.065</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AUROC</w:t>
            </w:r>
          </w:p>
        </w:tc>
        <w:tc>
          <w:tcPr>
            <w:tcW w:type="dxa" w:w="1083"/>
            <w:vAlign w:val="center"/>
          </w:tcPr>
          <w:p>
            <w:r>
              <w:rPr>
                <w:sz w:val="16"/>
              </w:rPr>
              <w:t>0.639</w:t>
            </w:r>
          </w:p>
        </w:tc>
        <w:tc>
          <w:tcPr>
            <w:tcW w:type="dxa" w:w="1083"/>
            <w:vAlign w:val="center"/>
          </w:tcPr>
          <w:p>
            <w:r>
              <w:rPr>
                <w:sz w:val="16"/>
              </w:rPr>
              <w:t>0.670</w:t>
            </w:r>
          </w:p>
        </w:tc>
        <w:tc>
          <w:tcPr>
            <w:tcW w:type="dxa" w:w="1083"/>
            <w:vAlign w:val="center"/>
          </w:tcPr>
          <w:p>
            <w:r>
              <w:rPr>
                <w:sz w:val="16"/>
              </w:rPr>
              <w:t>0.031</w:t>
            </w:r>
          </w:p>
        </w:tc>
        <w:tc>
          <w:tcPr>
            <w:tcW w:type="dxa" w:w="1083"/>
            <w:vAlign w:val="center"/>
          </w:tcPr>
          <w:p>
            <w:r>
              <w:rPr>
                <w:sz w:val="16"/>
              </w:rPr>
              <w:t>0.003 to 0.063</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AUROC</w:t>
            </w:r>
          </w:p>
        </w:tc>
        <w:tc>
          <w:tcPr>
            <w:tcW w:type="dxa" w:w="1083"/>
            <w:vAlign w:val="center"/>
          </w:tcPr>
          <w:p>
            <w:r>
              <w:rPr>
                <w:sz w:val="16"/>
              </w:rPr>
              <w:t>0.627</w:t>
            </w:r>
          </w:p>
        </w:tc>
        <w:tc>
          <w:tcPr>
            <w:tcW w:type="dxa" w:w="1083"/>
            <w:vAlign w:val="center"/>
          </w:tcPr>
          <w:p>
            <w:r>
              <w:rPr>
                <w:sz w:val="16"/>
              </w:rPr>
              <w:t>0.662</w:t>
            </w:r>
          </w:p>
        </w:tc>
        <w:tc>
          <w:tcPr>
            <w:tcW w:type="dxa" w:w="1083"/>
            <w:vAlign w:val="center"/>
          </w:tcPr>
          <w:p>
            <w:r>
              <w:rPr>
                <w:sz w:val="16"/>
              </w:rPr>
              <w:t>0.035</w:t>
            </w:r>
          </w:p>
        </w:tc>
        <w:tc>
          <w:tcPr>
            <w:tcW w:type="dxa" w:w="1083"/>
            <w:vAlign w:val="center"/>
          </w:tcPr>
          <w:p>
            <w:r>
              <w:rPr>
                <w:sz w:val="16"/>
              </w:rPr>
              <w:t>-0.014 to 0.086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AUROC</w:t>
            </w:r>
          </w:p>
        </w:tc>
        <w:tc>
          <w:tcPr>
            <w:tcW w:type="dxa" w:w="1083"/>
            <w:vAlign w:val="center"/>
          </w:tcPr>
          <w:p>
            <w:r>
              <w:rPr>
                <w:sz w:val="16"/>
              </w:rPr>
              <w:t>0.625</w:t>
            </w:r>
          </w:p>
        </w:tc>
        <w:tc>
          <w:tcPr>
            <w:tcW w:type="dxa" w:w="1083"/>
            <w:vAlign w:val="center"/>
          </w:tcPr>
          <w:p>
            <w:r>
              <w:rPr>
                <w:sz w:val="16"/>
              </w:rPr>
              <w:t>0.651</w:t>
            </w:r>
          </w:p>
        </w:tc>
        <w:tc>
          <w:tcPr>
            <w:tcW w:type="dxa" w:w="1083"/>
            <w:vAlign w:val="center"/>
          </w:tcPr>
          <w:p>
            <w:r>
              <w:rPr>
                <w:sz w:val="16"/>
              </w:rPr>
              <w:t>0.027</w:t>
            </w:r>
          </w:p>
        </w:tc>
        <w:tc>
          <w:tcPr>
            <w:tcW w:type="dxa" w:w="1083"/>
            <w:vAlign w:val="center"/>
          </w:tcPr>
          <w:p>
            <w:r>
              <w:rPr>
                <w:sz w:val="16"/>
              </w:rPr>
              <w:t>-0.006 to 0.059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AUROC</w:t>
            </w:r>
          </w:p>
        </w:tc>
        <w:tc>
          <w:tcPr>
            <w:tcW w:type="dxa" w:w="1083"/>
            <w:vAlign w:val="center"/>
          </w:tcPr>
          <w:p>
            <w:r>
              <w:rPr>
                <w:sz w:val="16"/>
              </w:rPr>
              <w:t>0.623</w:t>
            </w:r>
          </w:p>
        </w:tc>
        <w:tc>
          <w:tcPr>
            <w:tcW w:type="dxa" w:w="1083"/>
            <w:vAlign w:val="center"/>
          </w:tcPr>
          <w:p>
            <w:r>
              <w:rPr>
                <w:sz w:val="16"/>
              </w:rPr>
              <w:t>0.624</w:t>
            </w:r>
          </w:p>
        </w:tc>
        <w:tc>
          <w:tcPr>
            <w:tcW w:type="dxa" w:w="1083"/>
            <w:vAlign w:val="center"/>
          </w:tcPr>
          <w:p>
            <w:r>
              <w:rPr>
                <w:sz w:val="16"/>
              </w:rPr>
              <w:t>0.001</w:t>
            </w:r>
          </w:p>
        </w:tc>
        <w:tc>
          <w:tcPr>
            <w:tcW w:type="dxa" w:w="1083"/>
            <w:vAlign w:val="center"/>
          </w:tcPr>
          <w:p>
            <w:r>
              <w:rPr>
                <w:sz w:val="16"/>
              </w:rPr>
              <w:t>-0.071 to 0.082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AUROC</w:t>
            </w:r>
          </w:p>
        </w:tc>
        <w:tc>
          <w:tcPr>
            <w:tcW w:type="dxa" w:w="1083"/>
            <w:vAlign w:val="center"/>
          </w:tcPr>
          <w:p>
            <w:r>
              <w:rPr>
                <w:sz w:val="16"/>
              </w:rPr>
              <w:t>0.620</w:t>
            </w:r>
          </w:p>
        </w:tc>
        <w:tc>
          <w:tcPr>
            <w:tcW w:type="dxa" w:w="1083"/>
            <w:vAlign w:val="center"/>
          </w:tcPr>
          <w:p>
            <w:r>
              <w:rPr>
                <w:sz w:val="16"/>
              </w:rPr>
              <w:t>0.611</w:t>
            </w:r>
          </w:p>
        </w:tc>
        <w:tc>
          <w:tcPr>
            <w:tcW w:type="dxa" w:w="1083"/>
            <w:vAlign w:val="center"/>
          </w:tcPr>
          <w:p>
            <w:r>
              <w:rPr>
                <w:sz w:val="16"/>
              </w:rPr>
              <w:t>-0.009</w:t>
            </w:r>
          </w:p>
        </w:tc>
        <w:tc>
          <w:tcPr>
            <w:tcW w:type="dxa" w:w="1083"/>
            <w:vAlign w:val="center"/>
          </w:tcPr>
          <w:p>
            <w:r>
              <w:rPr>
                <w:sz w:val="16"/>
              </w:rPr>
              <w:t>-0.034 to 0.015</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AUROC</w:t>
            </w:r>
          </w:p>
        </w:tc>
        <w:tc>
          <w:tcPr>
            <w:tcW w:type="dxa" w:w="1083"/>
            <w:vAlign w:val="center"/>
          </w:tcPr>
          <w:p>
            <w:r>
              <w:rPr>
                <w:sz w:val="16"/>
              </w:rPr>
              <w:t>0.615</w:t>
            </w:r>
          </w:p>
        </w:tc>
        <w:tc>
          <w:tcPr>
            <w:tcW w:type="dxa" w:w="1083"/>
            <w:vAlign w:val="center"/>
          </w:tcPr>
          <w:p>
            <w:r>
              <w:rPr>
                <w:sz w:val="16"/>
              </w:rPr>
              <w:t>0.597</w:t>
            </w:r>
          </w:p>
        </w:tc>
        <w:tc>
          <w:tcPr>
            <w:tcW w:type="dxa" w:w="1083"/>
            <w:vAlign w:val="center"/>
          </w:tcPr>
          <w:p>
            <w:r>
              <w:rPr>
                <w:sz w:val="16"/>
              </w:rPr>
              <w:t>-0.018</w:t>
            </w:r>
          </w:p>
        </w:tc>
        <w:tc>
          <w:tcPr>
            <w:tcW w:type="dxa" w:w="1083"/>
            <w:vAlign w:val="center"/>
          </w:tcPr>
          <w:p>
            <w:r>
              <w:rPr>
                <w:sz w:val="16"/>
              </w:rPr>
              <w:t>-0.072 to 0.038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AUROC</w:t>
            </w:r>
          </w:p>
        </w:tc>
        <w:tc>
          <w:tcPr>
            <w:tcW w:type="dxa" w:w="1083"/>
            <w:vAlign w:val="center"/>
          </w:tcPr>
          <w:p>
            <w:r>
              <w:rPr>
                <w:sz w:val="16"/>
              </w:rPr>
              <w:t>0.598</w:t>
            </w:r>
          </w:p>
        </w:tc>
        <w:tc>
          <w:tcPr>
            <w:tcW w:type="dxa" w:w="1083"/>
            <w:vAlign w:val="center"/>
          </w:tcPr>
          <w:p>
            <w:r>
              <w:rPr>
                <w:sz w:val="16"/>
              </w:rPr>
              <w:t>0.598</w:t>
            </w:r>
          </w:p>
        </w:tc>
        <w:tc>
          <w:tcPr>
            <w:tcW w:type="dxa" w:w="1083"/>
            <w:vAlign w:val="center"/>
          </w:tcPr>
          <w:p>
            <w:r>
              <w:rPr>
                <w:sz w:val="16"/>
              </w:rPr>
              <w:t>0.000</w:t>
            </w:r>
          </w:p>
        </w:tc>
        <w:tc>
          <w:tcPr>
            <w:tcW w:type="dxa" w:w="1083"/>
            <w:vAlign w:val="center"/>
          </w:tcPr>
          <w:p>
            <w:r>
              <w:rPr>
                <w:sz w:val="16"/>
              </w:rPr>
              <w:t>-0.030 to 0.030</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AUROC</w:t>
            </w:r>
          </w:p>
        </w:tc>
        <w:tc>
          <w:tcPr>
            <w:tcW w:type="dxa" w:w="1083"/>
            <w:vAlign w:val="center"/>
          </w:tcPr>
          <w:p>
            <w:r>
              <w:rPr>
                <w:sz w:val="16"/>
              </w:rPr>
              <w:t>0.590</w:t>
            </w:r>
          </w:p>
        </w:tc>
        <w:tc>
          <w:tcPr>
            <w:tcW w:type="dxa" w:w="1083"/>
            <w:vAlign w:val="center"/>
          </w:tcPr>
          <w:p>
            <w:r>
              <w:rPr>
                <w:sz w:val="16"/>
              </w:rPr>
              <w:t>0.600</w:t>
            </w:r>
          </w:p>
        </w:tc>
        <w:tc>
          <w:tcPr>
            <w:tcW w:type="dxa" w:w="1083"/>
            <w:vAlign w:val="center"/>
          </w:tcPr>
          <w:p>
            <w:r>
              <w:rPr>
                <w:sz w:val="16"/>
              </w:rPr>
              <w:t>0.010</w:t>
            </w:r>
          </w:p>
        </w:tc>
        <w:tc>
          <w:tcPr>
            <w:tcW w:type="dxa" w:w="1083"/>
            <w:vAlign w:val="center"/>
          </w:tcPr>
          <w:p>
            <w:r>
              <w:rPr>
                <w:sz w:val="16"/>
              </w:rPr>
              <w:t>-0.030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AUROC</w:t>
            </w:r>
          </w:p>
        </w:tc>
        <w:tc>
          <w:tcPr>
            <w:tcW w:type="dxa" w:w="1083"/>
            <w:vAlign w:val="center"/>
          </w:tcPr>
          <w:p>
            <w:r>
              <w:rPr>
                <w:sz w:val="16"/>
              </w:rPr>
              <w:t>0.573</w:t>
            </w:r>
          </w:p>
        </w:tc>
        <w:tc>
          <w:tcPr>
            <w:tcW w:type="dxa" w:w="1083"/>
            <w:vAlign w:val="center"/>
          </w:tcPr>
          <w:p>
            <w:r>
              <w:rPr>
                <w:sz w:val="16"/>
              </w:rPr>
              <w:t>0.573</w:t>
            </w:r>
          </w:p>
        </w:tc>
        <w:tc>
          <w:tcPr>
            <w:tcW w:type="dxa" w:w="1083"/>
            <w:vAlign w:val="center"/>
          </w:tcPr>
          <w:p>
            <w:r>
              <w:rPr>
                <w:sz w:val="16"/>
              </w:rPr>
              <w:t>-0.000</w:t>
            </w:r>
          </w:p>
        </w:tc>
        <w:tc>
          <w:tcPr>
            <w:tcW w:type="dxa" w:w="1083"/>
            <w:vAlign w:val="center"/>
          </w:tcPr>
          <w:p>
            <w:r>
              <w:rPr>
                <w:sz w:val="16"/>
              </w:rPr>
              <w:t>-0.019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AUROC</w:t>
            </w:r>
          </w:p>
        </w:tc>
        <w:tc>
          <w:tcPr>
            <w:tcW w:type="dxa" w:w="1083"/>
            <w:vAlign w:val="center"/>
          </w:tcPr>
          <w:p>
            <w:r>
              <w:rPr>
                <w:sz w:val="16"/>
              </w:rPr>
              <w:t>0.566</w:t>
            </w:r>
          </w:p>
        </w:tc>
        <w:tc>
          <w:tcPr>
            <w:tcW w:type="dxa" w:w="1083"/>
            <w:vAlign w:val="center"/>
          </w:tcPr>
          <w:p>
            <w:r>
              <w:rPr>
                <w:sz w:val="16"/>
              </w:rPr>
              <w:t>0.560</w:t>
            </w:r>
          </w:p>
        </w:tc>
        <w:tc>
          <w:tcPr>
            <w:tcW w:type="dxa" w:w="1083"/>
            <w:vAlign w:val="center"/>
          </w:tcPr>
          <w:p>
            <w:r>
              <w:rPr>
                <w:sz w:val="16"/>
              </w:rPr>
              <w:t>-0.005</w:t>
            </w:r>
          </w:p>
        </w:tc>
        <w:tc>
          <w:tcPr>
            <w:tcW w:type="dxa" w:w="1083"/>
            <w:vAlign w:val="center"/>
          </w:tcPr>
          <w:p>
            <w:r>
              <w:rPr>
                <w:sz w:val="16"/>
              </w:rPr>
              <w:t>-0.073 to 0.056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AUROC</w:t>
            </w:r>
          </w:p>
        </w:tc>
        <w:tc>
          <w:tcPr>
            <w:tcW w:type="dxa" w:w="1083"/>
            <w:vAlign w:val="center"/>
          </w:tcPr>
          <w:p>
            <w:r>
              <w:rPr>
                <w:sz w:val="16"/>
              </w:rPr>
              <w:t>0.559</w:t>
            </w:r>
          </w:p>
        </w:tc>
        <w:tc>
          <w:tcPr>
            <w:tcW w:type="dxa" w:w="1083"/>
            <w:vAlign w:val="center"/>
          </w:tcPr>
          <w:p>
            <w:r>
              <w:rPr>
                <w:sz w:val="16"/>
              </w:rPr>
              <w:t>0.563</w:t>
            </w:r>
          </w:p>
        </w:tc>
        <w:tc>
          <w:tcPr>
            <w:tcW w:type="dxa" w:w="1083"/>
            <w:vAlign w:val="center"/>
          </w:tcPr>
          <w:p>
            <w:r>
              <w:rPr>
                <w:sz w:val="16"/>
              </w:rPr>
              <w:t>0.005</w:t>
            </w:r>
          </w:p>
        </w:tc>
        <w:tc>
          <w:tcPr>
            <w:tcW w:type="dxa" w:w="1083"/>
            <w:vAlign w:val="center"/>
          </w:tcPr>
          <w:p>
            <w:r>
              <w:rPr>
                <w:sz w:val="16"/>
              </w:rPr>
              <w:t>-0.024 to 0.032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AUROC</w:t>
            </w:r>
          </w:p>
        </w:tc>
        <w:tc>
          <w:tcPr>
            <w:tcW w:type="dxa" w:w="1083"/>
            <w:vAlign w:val="center"/>
          </w:tcPr>
          <w:p>
            <w:r>
              <w:rPr>
                <w:sz w:val="16"/>
              </w:rPr>
              <w:t>0.555</w:t>
            </w:r>
          </w:p>
        </w:tc>
        <w:tc>
          <w:tcPr>
            <w:tcW w:type="dxa" w:w="1083"/>
            <w:vAlign w:val="center"/>
          </w:tcPr>
          <w:p>
            <w:r>
              <w:rPr>
                <w:sz w:val="16"/>
              </w:rPr>
              <w:t>0.583</w:t>
            </w:r>
          </w:p>
        </w:tc>
        <w:tc>
          <w:tcPr>
            <w:tcW w:type="dxa" w:w="1083"/>
            <w:vAlign w:val="center"/>
          </w:tcPr>
          <w:p>
            <w:r>
              <w:rPr>
                <w:sz w:val="16"/>
              </w:rPr>
              <w:t>0.028</w:t>
            </w:r>
          </w:p>
        </w:tc>
        <w:tc>
          <w:tcPr>
            <w:tcW w:type="dxa" w:w="1083"/>
            <w:vAlign w:val="center"/>
          </w:tcPr>
          <w:p>
            <w:r>
              <w:rPr>
                <w:sz w:val="16"/>
              </w:rPr>
              <w:t>0.003 to 0.057</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AUROC</w:t>
            </w:r>
          </w:p>
        </w:tc>
        <w:tc>
          <w:tcPr>
            <w:tcW w:type="dxa" w:w="1083"/>
            <w:vAlign w:val="center"/>
          </w:tcPr>
          <w:p>
            <w:r>
              <w:rPr>
                <w:sz w:val="16"/>
              </w:rPr>
              <w:t>0.543</w:t>
            </w:r>
          </w:p>
        </w:tc>
        <w:tc>
          <w:tcPr>
            <w:tcW w:type="dxa" w:w="1083"/>
            <w:vAlign w:val="center"/>
          </w:tcPr>
          <w:p>
            <w:r>
              <w:rPr>
                <w:sz w:val="16"/>
              </w:rPr>
              <w:t>0.555</w:t>
            </w:r>
          </w:p>
        </w:tc>
        <w:tc>
          <w:tcPr>
            <w:tcW w:type="dxa" w:w="1083"/>
            <w:vAlign w:val="center"/>
          </w:tcPr>
          <w:p>
            <w:r>
              <w:rPr>
                <w:sz w:val="16"/>
              </w:rPr>
              <w:t>0.012</w:t>
            </w:r>
          </w:p>
        </w:tc>
        <w:tc>
          <w:tcPr>
            <w:tcW w:type="dxa" w:w="1083"/>
            <w:vAlign w:val="center"/>
          </w:tcPr>
          <w:p>
            <w:r>
              <w:rPr>
                <w:sz w:val="16"/>
              </w:rPr>
              <w:t>-0.032 to 0.060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AUROC</w:t>
            </w:r>
          </w:p>
        </w:tc>
        <w:tc>
          <w:tcPr>
            <w:tcW w:type="dxa" w:w="1083"/>
            <w:vAlign w:val="center"/>
          </w:tcPr>
          <w:p>
            <w:r>
              <w:rPr>
                <w:sz w:val="16"/>
              </w:rPr>
              <w:t>0.540</w:t>
            </w:r>
          </w:p>
        </w:tc>
        <w:tc>
          <w:tcPr>
            <w:tcW w:type="dxa" w:w="1083"/>
            <w:vAlign w:val="center"/>
          </w:tcPr>
          <w:p>
            <w:r>
              <w:rPr>
                <w:sz w:val="16"/>
              </w:rPr>
              <w:t>0.606</w:t>
            </w:r>
          </w:p>
        </w:tc>
        <w:tc>
          <w:tcPr>
            <w:tcW w:type="dxa" w:w="1083"/>
            <w:vAlign w:val="center"/>
          </w:tcPr>
          <w:p>
            <w:r>
              <w:rPr>
                <w:sz w:val="16"/>
              </w:rPr>
              <w:t>0.066</w:t>
            </w:r>
          </w:p>
        </w:tc>
        <w:tc>
          <w:tcPr>
            <w:tcW w:type="dxa" w:w="1083"/>
            <w:vAlign w:val="center"/>
          </w:tcPr>
          <w:p>
            <w:r>
              <w:rPr>
                <w:sz w:val="16"/>
              </w:rPr>
              <w:t>-0.005 to 0.137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AUROC</w:t>
            </w:r>
          </w:p>
        </w:tc>
        <w:tc>
          <w:tcPr>
            <w:tcW w:type="dxa" w:w="1083"/>
            <w:vAlign w:val="center"/>
          </w:tcPr>
          <w:p>
            <w:r>
              <w:rPr>
                <w:sz w:val="16"/>
              </w:rPr>
              <w:t>0.534</w:t>
            </w:r>
          </w:p>
        </w:tc>
        <w:tc>
          <w:tcPr>
            <w:tcW w:type="dxa" w:w="1083"/>
            <w:vAlign w:val="center"/>
          </w:tcPr>
          <w:p>
            <w:r>
              <w:rPr>
                <w:sz w:val="16"/>
              </w:rPr>
              <w:t>0.530</w:t>
            </w:r>
          </w:p>
        </w:tc>
        <w:tc>
          <w:tcPr>
            <w:tcW w:type="dxa" w:w="1083"/>
            <w:vAlign w:val="center"/>
          </w:tcPr>
          <w:p>
            <w:r>
              <w:rPr>
                <w:sz w:val="16"/>
              </w:rPr>
              <w:t>-0.003</w:t>
            </w:r>
          </w:p>
        </w:tc>
        <w:tc>
          <w:tcPr>
            <w:tcW w:type="dxa" w:w="1083"/>
            <w:vAlign w:val="center"/>
          </w:tcPr>
          <w:p>
            <w:r>
              <w:rPr>
                <w:sz w:val="16"/>
              </w:rPr>
              <w:t>-0.044 to 0.038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AUROC</w:t>
            </w:r>
          </w:p>
        </w:tc>
        <w:tc>
          <w:tcPr>
            <w:tcW w:type="dxa" w:w="1083"/>
            <w:vAlign w:val="center"/>
          </w:tcPr>
          <w:p>
            <w:r>
              <w:rPr>
                <w:sz w:val="16"/>
              </w:rPr>
              <w:t>0.522</w:t>
            </w:r>
          </w:p>
        </w:tc>
        <w:tc>
          <w:tcPr>
            <w:tcW w:type="dxa" w:w="1083"/>
            <w:vAlign w:val="center"/>
          </w:tcPr>
          <w:p>
            <w:r>
              <w:rPr>
                <w:sz w:val="16"/>
              </w:rPr>
              <w:t>0.537</w:t>
            </w:r>
          </w:p>
        </w:tc>
        <w:tc>
          <w:tcPr>
            <w:tcW w:type="dxa" w:w="1083"/>
            <w:vAlign w:val="center"/>
          </w:tcPr>
          <w:p>
            <w:r>
              <w:rPr>
                <w:sz w:val="16"/>
              </w:rPr>
              <w:t>0.015</w:t>
            </w:r>
          </w:p>
        </w:tc>
        <w:tc>
          <w:tcPr>
            <w:tcW w:type="dxa" w:w="1083"/>
            <w:vAlign w:val="center"/>
          </w:tcPr>
          <w:p>
            <w:r>
              <w:rPr>
                <w:sz w:val="16"/>
              </w:rPr>
              <w:t>-0.005 to 0.036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AUROC</w:t>
            </w:r>
          </w:p>
        </w:tc>
        <w:tc>
          <w:tcPr>
            <w:tcW w:type="dxa" w:w="1083"/>
            <w:vAlign w:val="center"/>
          </w:tcPr>
          <w:p>
            <w:r>
              <w:rPr>
                <w:sz w:val="16"/>
              </w:rPr>
              <w:t>0.492</w:t>
            </w:r>
          </w:p>
        </w:tc>
        <w:tc>
          <w:tcPr>
            <w:tcW w:type="dxa" w:w="1083"/>
            <w:vAlign w:val="center"/>
          </w:tcPr>
          <w:p>
            <w:r>
              <w:rPr>
                <w:sz w:val="16"/>
              </w:rPr>
              <w:t>0.547</w:t>
            </w:r>
          </w:p>
        </w:tc>
        <w:tc>
          <w:tcPr>
            <w:tcW w:type="dxa" w:w="1083"/>
            <w:vAlign w:val="center"/>
          </w:tcPr>
          <w:p>
            <w:r>
              <w:rPr>
                <w:sz w:val="16"/>
              </w:rPr>
              <w:t>0.056</w:t>
            </w:r>
          </w:p>
        </w:tc>
        <w:tc>
          <w:tcPr>
            <w:tcW w:type="dxa" w:w="1083"/>
            <w:vAlign w:val="center"/>
          </w:tcPr>
          <w:p>
            <w:r>
              <w:rPr>
                <w:sz w:val="16"/>
              </w:rPr>
              <w:t>0.004 to 0.108</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AUROC</w:t>
            </w:r>
          </w:p>
        </w:tc>
        <w:tc>
          <w:tcPr>
            <w:tcW w:type="dxa" w:w="1083"/>
            <w:vAlign w:val="center"/>
          </w:tcPr>
          <w:p>
            <w:r>
              <w:rPr>
                <w:sz w:val="16"/>
              </w:rPr>
              <w:t>0.489</w:t>
            </w:r>
          </w:p>
        </w:tc>
        <w:tc>
          <w:tcPr>
            <w:tcW w:type="dxa" w:w="1083"/>
            <w:vAlign w:val="center"/>
          </w:tcPr>
          <w:p>
            <w:r>
              <w:rPr>
                <w:sz w:val="16"/>
              </w:rPr>
              <w:t>0.497</w:t>
            </w:r>
          </w:p>
        </w:tc>
        <w:tc>
          <w:tcPr>
            <w:tcW w:type="dxa" w:w="1083"/>
            <w:vAlign w:val="center"/>
          </w:tcPr>
          <w:p>
            <w:r>
              <w:rPr>
                <w:sz w:val="16"/>
              </w:rPr>
              <w:t>0.008</w:t>
            </w:r>
          </w:p>
        </w:tc>
        <w:tc>
          <w:tcPr>
            <w:tcW w:type="dxa" w:w="1083"/>
            <w:vAlign w:val="center"/>
          </w:tcPr>
          <w:p>
            <w:r>
              <w:rPr>
                <w:sz w:val="16"/>
              </w:rPr>
              <w:t>-0.088 to 0.098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AUROC</w:t>
            </w:r>
          </w:p>
        </w:tc>
        <w:tc>
          <w:tcPr>
            <w:tcW w:type="dxa" w:w="1083"/>
            <w:vAlign w:val="center"/>
          </w:tcPr>
          <w:p>
            <w:r>
              <w:rPr>
                <w:sz w:val="16"/>
              </w:rPr>
              <w:t>0.482</w:t>
            </w:r>
          </w:p>
        </w:tc>
        <w:tc>
          <w:tcPr>
            <w:tcW w:type="dxa" w:w="1083"/>
            <w:vAlign w:val="center"/>
          </w:tcPr>
          <w:p>
            <w:r>
              <w:rPr>
                <w:sz w:val="16"/>
              </w:rPr>
              <w:t>0.476</w:t>
            </w:r>
          </w:p>
        </w:tc>
        <w:tc>
          <w:tcPr>
            <w:tcW w:type="dxa" w:w="1083"/>
            <w:vAlign w:val="center"/>
          </w:tcPr>
          <w:p>
            <w:r>
              <w:rPr>
                <w:sz w:val="16"/>
              </w:rPr>
              <w:t>-0.006</w:t>
            </w:r>
          </w:p>
        </w:tc>
        <w:tc>
          <w:tcPr>
            <w:tcW w:type="dxa" w:w="1083"/>
            <w:vAlign w:val="center"/>
          </w:tcPr>
          <w:p>
            <w:r>
              <w:rPr>
                <w:sz w:val="16"/>
              </w:rPr>
              <w:t>-0.080 to 0.070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AUROC</w:t>
            </w:r>
          </w:p>
        </w:tc>
        <w:tc>
          <w:tcPr>
            <w:tcW w:type="dxa" w:w="1083"/>
            <w:vAlign w:val="center"/>
          </w:tcPr>
          <w:p>
            <w:r>
              <w:rPr>
                <w:sz w:val="16"/>
              </w:rPr>
              <w:t>0.459</w:t>
            </w:r>
          </w:p>
        </w:tc>
        <w:tc>
          <w:tcPr>
            <w:tcW w:type="dxa" w:w="1083"/>
            <w:vAlign w:val="center"/>
          </w:tcPr>
          <w:p>
            <w:r>
              <w:rPr>
                <w:sz w:val="16"/>
              </w:rPr>
              <w:t>0.477</w:t>
            </w:r>
          </w:p>
        </w:tc>
        <w:tc>
          <w:tcPr>
            <w:tcW w:type="dxa" w:w="1083"/>
            <w:vAlign w:val="center"/>
          </w:tcPr>
          <w:p>
            <w:r>
              <w:rPr>
                <w:sz w:val="16"/>
              </w:rPr>
              <w:t>0.017</w:t>
            </w:r>
          </w:p>
        </w:tc>
        <w:tc>
          <w:tcPr>
            <w:tcW w:type="dxa" w:w="1083"/>
            <w:vAlign w:val="center"/>
          </w:tcPr>
          <w:p>
            <w:r>
              <w:rPr>
                <w:sz w:val="16"/>
              </w:rPr>
              <w:t>-0.035 to 0.070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AUROC</w:t>
            </w:r>
          </w:p>
        </w:tc>
        <w:tc>
          <w:tcPr>
            <w:tcW w:type="dxa" w:w="1083"/>
            <w:vAlign w:val="center"/>
          </w:tcPr>
          <w:p>
            <w:r>
              <w:rPr>
                <w:sz w:val="16"/>
              </w:rPr>
              <w:t>0.430</w:t>
            </w:r>
          </w:p>
        </w:tc>
        <w:tc>
          <w:tcPr>
            <w:tcW w:type="dxa" w:w="1083"/>
            <w:vAlign w:val="center"/>
          </w:tcPr>
          <w:p>
            <w:r>
              <w:rPr>
                <w:sz w:val="16"/>
              </w:rPr>
              <w:t>0.424</w:t>
            </w:r>
          </w:p>
        </w:tc>
        <w:tc>
          <w:tcPr>
            <w:tcW w:type="dxa" w:w="1083"/>
            <w:vAlign w:val="center"/>
          </w:tcPr>
          <w:p>
            <w:r>
              <w:rPr>
                <w:sz w:val="16"/>
              </w:rPr>
              <w:t>-0.006</w:t>
            </w:r>
          </w:p>
        </w:tc>
        <w:tc>
          <w:tcPr>
            <w:tcW w:type="dxa" w:w="1083"/>
            <w:vAlign w:val="center"/>
          </w:tcPr>
          <w:p>
            <w:r>
              <w:rPr>
                <w:sz w:val="16"/>
              </w:rPr>
              <w:t>-0.052 to 0.037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Q²</w:t>
            </w:r>
          </w:p>
        </w:tc>
        <w:tc>
          <w:tcPr>
            <w:tcW w:type="dxa" w:w="1083"/>
            <w:vAlign w:val="center"/>
          </w:tcPr>
          <w:p>
            <w:r>
              <w:rPr>
                <w:sz w:val="16"/>
              </w:rPr>
              <w:t>0.345</w:t>
            </w:r>
          </w:p>
        </w:tc>
        <w:tc>
          <w:tcPr>
            <w:tcW w:type="dxa" w:w="1083"/>
            <w:vAlign w:val="center"/>
          </w:tcPr>
          <w:p>
            <w:r>
              <w:rPr>
                <w:sz w:val="16"/>
              </w:rPr>
              <w:t>0.368</w:t>
            </w:r>
          </w:p>
        </w:tc>
        <w:tc>
          <w:tcPr>
            <w:tcW w:type="dxa" w:w="1083"/>
            <w:vAlign w:val="center"/>
          </w:tcPr>
          <w:p>
            <w:r>
              <w:rPr>
                <w:sz w:val="16"/>
              </w:rPr>
              <w:t>0.023</w:t>
            </w:r>
          </w:p>
        </w:tc>
        <w:tc>
          <w:tcPr>
            <w:tcW w:type="dxa" w:w="1083"/>
            <w:vAlign w:val="center"/>
          </w:tcPr>
          <w:p>
            <w:r>
              <w:rPr>
                <w:sz w:val="16"/>
              </w:rPr>
              <w:t>0.003 to 0.046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Q²</w:t>
            </w:r>
          </w:p>
        </w:tc>
        <w:tc>
          <w:tcPr>
            <w:tcW w:type="dxa" w:w="1083"/>
            <w:vAlign w:val="center"/>
          </w:tcPr>
          <w:p>
            <w:r>
              <w:rPr>
                <w:sz w:val="16"/>
              </w:rPr>
              <w:t>0.222</w:t>
            </w:r>
          </w:p>
        </w:tc>
        <w:tc>
          <w:tcPr>
            <w:tcW w:type="dxa" w:w="1083"/>
            <w:vAlign w:val="center"/>
          </w:tcPr>
          <w:p>
            <w:r>
              <w:rPr>
                <w:sz w:val="16"/>
              </w:rPr>
              <w:t>0.270</w:t>
            </w:r>
          </w:p>
        </w:tc>
        <w:tc>
          <w:tcPr>
            <w:tcW w:type="dxa" w:w="1083"/>
            <w:vAlign w:val="center"/>
          </w:tcPr>
          <w:p>
            <w:r>
              <w:rPr>
                <w:sz w:val="16"/>
              </w:rPr>
              <w:t>0.048</w:t>
            </w:r>
          </w:p>
        </w:tc>
        <w:tc>
          <w:tcPr>
            <w:tcW w:type="dxa" w:w="1083"/>
            <w:vAlign w:val="center"/>
          </w:tcPr>
          <w:p>
            <w:r>
              <w:rPr>
                <w:sz w:val="16"/>
              </w:rPr>
              <w:t>0.027 to 0.071</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Q²</w:t>
            </w:r>
          </w:p>
        </w:tc>
        <w:tc>
          <w:tcPr>
            <w:tcW w:type="dxa" w:w="1083"/>
            <w:vAlign w:val="center"/>
          </w:tcPr>
          <w:p>
            <w:r>
              <w:rPr>
                <w:sz w:val="16"/>
              </w:rPr>
              <w:t>0.219</w:t>
            </w:r>
          </w:p>
        </w:tc>
        <w:tc>
          <w:tcPr>
            <w:tcW w:type="dxa" w:w="1083"/>
            <w:vAlign w:val="center"/>
          </w:tcPr>
          <w:p>
            <w:r>
              <w:rPr>
                <w:sz w:val="16"/>
              </w:rPr>
              <w:t>0.211</w:t>
            </w:r>
          </w:p>
        </w:tc>
        <w:tc>
          <w:tcPr>
            <w:tcW w:type="dxa" w:w="1083"/>
            <w:vAlign w:val="center"/>
          </w:tcPr>
          <w:p>
            <w:r>
              <w:rPr>
                <w:sz w:val="16"/>
              </w:rPr>
              <w:t>-0.008</w:t>
            </w:r>
          </w:p>
        </w:tc>
        <w:tc>
          <w:tcPr>
            <w:tcW w:type="dxa" w:w="1083"/>
            <w:vAlign w:val="center"/>
          </w:tcPr>
          <w:p>
            <w:r>
              <w:rPr>
                <w:sz w:val="16"/>
              </w:rPr>
              <w:t>-0.025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Q²</w:t>
            </w:r>
          </w:p>
        </w:tc>
        <w:tc>
          <w:tcPr>
            <w:tcW w:type="dxa" w:w="1083"/>
            <w:vAlign w:val="center"/>
          </w:tcPr>
          <w:p>
            <w:r>
              <w:rPr>
                <w:sz w:val="16"/>
              </w:rPr>
              <w:t>0.195</w:t>
            </w:r>
          </w:p>
        </w:tc>
        <w:tc>
          <w:tcPr>
            <w:tcW w:type="dxa" w:w="1083"/>
            <w:vAlign w:val="center"/>
          </w:tcPr>
          <w:p>
            <w:r>
              <w:rPr>
                <w:sz w:val="16"/>
              </w:rPr>
              <w:t>0.258</w:t>
            </w:r>
          </w:p>
        </w:tc>
        <w:tc>
          <w:tcPr>
            <w:tcW w:type="dxa" w:w="1083"/>
            <w:vAlign w:val="center"/>
          </w:tcPr>
          <w:p>
            <w:r>
              <w:rPr>
                <w:sz w:val="16"/>
              </w:rPr>
              <w:t>0.064</w:t>
            </w:r>
          </w:p>
        </w:tc>
        <w:tc>
          <w:tcPr>
            <w:tcW w:type="dxa" w:w="1083"/>
            <w:vAlign w:val="center"/>
          </w:tcPr>
          <w:p>
            <w:r>
              <w:rPr>
                <w:sz w:val="16"/>
              </w:rPr>
              <w:t>0.030 to 0.106</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Q²</w:t>
            </w:r>
          </w:p>
        </w:tc>
        <w:tc>
          <w:tcPr>
            <w:tcW w:type="dxa" w:w="1083"/>
            <w:vAlign w:val="center"/>
          </w:tcPr>
          <w:p>
            <w:r>
              <w:rPr>
                <w:sz w:val="16"/>
              </w:rPr>
              <w:t>0.175</w:t>
            </w:r>
          </w:p>
        </w:tc>
        <w:tc>
          <w:tcPr>
            <w:tcW w:type="dxa" w:w="1083"/>
            <w:vAlign w:val="center"/>
          </w:tcPr>
          <w:p>
            <w:r>
              <w:rPr>
                <w:sz w:val="16"/>
              </w:rPr>
              <w:t>0.208</w:t>
            </w:r>
          </w:p>
        </w:tc>
        <w:tc>
          <w:tcPr>
            <w:tcW w:type="dxa" w:w="1083"/>
            <w:vAlign w:val="center"/>
          </w:tcPr>
          <w:p>
            <w:r>
              <w:rPr>
                <w:sz w:val="16"/>
              </w:rPr>
              <w:t>0.033</w:t>
            </w:r>
          </w:p>
        </w:tc>
        <w:tc>
          <w:tcPr>
            <w:tcW w:type="dxa" w:w="1083"/>
            <w:vAlign w:val="center"/>
          </w:tcPr>
          <w:p>
            <w:r>
              <w:rPr>
                <w:sz w:val="16"/>
              </w:rPr>
              <w:t>0.007 to 0.061</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Q²</w:t>
            </w:r>
          </w:p>
        </w:tc>
        <w:tc>
          <w:tcPr>
            <w:tcW w:type="dxa" w:w="1083"/>
            <w:vAlign w:val="center"/>
          </w:tcPr>
          <w:p>
            <w:r>
              <w:rPr>
                <w:sz w:val="16"/>
              </w:rPr>
              <w:t>0.018</w:t>
            </w:r>
          </w:p>
        </w:tc>
        <w:tc>
          <w:tcPr>
            <w:tcW w:type="dxa" w:w="1083"/>
            <w:vAlign w:val="center"/>
          </w:tcPr>
          <w:p>
            <w:r>
              <w:rPr>
                <w:sz w:val="16"/>
              </w:rPr>
              <w:t>0.042</w:t>
            </w:r>
          </w:p>
        </w:tc>
        <w:tc>
          <w:tcPr>
            <w:tcW w:type="dxa" w:w="1083"/>
            <w:vAlign w:val="center"/>
          </w:tcPr>
          <w:p>
            <w:r>
              <w:rPr>
                <w:sz w:val="16"/>
              </w:rPr>
              <w:t>0.024</w:t>
            </w:r>
          </w:p>
        </w:tc>
        <w:tc>
          <w:tcPr>
            <w:tcW w:type="dxa" w:w="1083"/>
            <w:vAlign w:val="center"/>
          </w:tcPr>
          <w:p>
            <w:r>
              <w:rPr>
                <w:sz w:val="16"/>
              </w:rPr>
              <w:t>-0.014 to 0.068</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Q²</w:t>
            </w:r>
          </w:p>
        </w:tc>
        <w:tc>
          <w:tcPr>
            <w:tcW w:type="dxa" w:w="1083"/>
            <w:vAlign w:val="center"/>
          </w:tcPr>
          <w:p>
            <w:r>
              <w:rPr>
                <w:sz w:val="16"/>
              </w:rPr>
              <w:t>-0.042</w:t>
            </w:r>
          </w:p>
        </w:tc>
        <w:tc>
          <w:tcPr>
            <w:tcW w:type="dxa" w:w="1083"/>
            <w:vAlign w:val="center"/>
          </w:tcPr>
          <w:p>
            <w:r>
              <w:rPr>
                <w:sz w:val="16"/>
              </w:rPr>
              <w:t>-0.007</w:t>
            </w:r>
          </w:p>
        </w:tc>
        <w:tc>
          <w:tcPr>
            <w:tcW w:type="dxa" w:w="1083"/>
            <w:vAlign w:val="center"/>
          </w:tcPr>
          <w:p>
            <w:r>
              <w:rPr>
                <w:sz w:val="16"/>
              </w:rPr>
              <w:t>0.035</w:t>
            </w:r>
          </w:p>
        </w:tc>
        <w:tc>
          <w:tcPr>
            <w:tcW w:type="dxa" w:w="1083"/>
            <w:vAlign w:val="center"/>
          </w:tcPr>
          <w:p>
            <w:r>
              <w:rPr>
                <w:sz w:val="16"/>
              </w:rPr>
              <w:t>0.015 to 0.618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Q²</w:t>
            </w:r>
          </w:p>
        </w:tc>
        <w:tc>
          <w:tcPr>
            <w:tcW w:type="dxa" w:w="1083"/>
            <w:vAlign w:val="center"/>
          </w:tcPr>
          <w:p>
            <w:r>
              <w:rPr>
                <w:sz w:val="16"/>
              </w:rPr>
              <w:t>-0.070</w:t>
            </w:r>
          </w:p>
        </w:tc>
        <w:tc>
          <w:tcPr>
            <w:tcW w:type="dxa" w:w="1083"/>
            <w:vAlign w:val="center"/>
          </w:tcPr>
          <w:p>
            <w:r>
              <w:rPr>
                <w:sz w:val="16"/>
              </w:rPr>
              <w:t>-0.011</w:t>
            </w:r>
          </w:p>
        </w:tc>
        <w:tc>
          <w:tcPr>
            <w:tcW w:type="dxa" w:w="1083"/>
            <w:vAlign w:val="center"/>
          </w:tcPr>
          <w:p>
            <w:r>
              <w:rPr>
                <w:sz w:val="16"/>
              </w:rPr>
              <w:t>0.058</w:t>
            </w:r>
          </w:p>
        </w:tc>
        <w:tc>
          <w:tcPr>
            <w:tcW w:type="dxa" w:w="1083"/>
            <w:vAlign w:val="center"/>
          </w:tcPr>
          <w:p>
            <w:r>
              <w:rPr>
                <w:sz w:val="16"/>
              </w:rPr>
              <w:t>0.020 to 0.103</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Q²</w:t>
            </w:r>
          </w:p>
        </w:tc>
        <w:tc>
          <w:tcPr>
            <w:tcW w:type="dxa" w:w="1083"/>
            <w:vAlign w:val="center"/>
          </w:tcPr>
          <w:p>
            <w:r>
              <w:rPr>
                <w:sz w:val="16"/>
              </w:rPr>
              <w:t>-0.118</w:t>
            </w:r>
          </w:p>
        </w:tc>
        <w:tc>
          <w:tcPr>
            <w:tcW w:type="dxa" w:w="1083"/>
            <w:vAlign w:val="center"/>
          </w:tcPr>
          <w:p>
            <w:r>
              <w:rPr>
                <w:sz w:val="16"/>
              </w:rPr>
              <w:t>-0.030</w:t>
            </w:r>
          </w:p>
        </w:tc>
        <w:tc>
          <w:tcPr>
            <w:tcW w:type="dxa" w:w="1083"/>
            <w:vAlign w:val="center"/>
          </w:tcPr>
          <w:p>
            <w:r>
              <w:rPr>
                <w:sz w:val="16"/>
              </w:rPr>
              <w:t>0.088</w:t>
            </w:r>
          </w:p>
        </w:tc>
        <w:tc>
          <w:tcPr>
            <w:tcW w:type="dxa" w:w="1083"/>
            <w:vAlign w:val="center"/>
          </w:tcPr>
          <w:p>
            <w:r>
              <w:rPr>
                <w:sz w:val="16"/>
              </w:rPr>
              <w:t>0.013 to 0.177</w:t>
            </w:r>
          </w:p>
        </w:tc>
        <w:tc>
          <w:tcPr>
            <w:tcW w:type="dxa" w:w="1083"/>
            <w:vAlign w:val="center"/>
          </w:tcPr>
          <w:p>
            <w:r>
              <w:rPr>
                <w:sz w:val="16"/>
              </w:rPr>
              <w:t>ridge</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Q²</w:t>
            </w:r>
          </w:p>
        </w:tc>
        <w:tc>
          <w:tcPr>
            <w:tcW w:type="dxa" w:w="1083"/>
            <w:vAlign w:val="center"/>
          </w:tcPr>
          <w:p>
            <w:r>
              <w:rPr>
                <w:sz w:val="16"/>
              </w:rPr>
              <w:t>-0.343</w:t>
            </w:r>
          </w:p>
        </w:tc>
        <w:tc>
          <w:tcPr>
            <w:tcW w:type="dxa" w:w="1083"/>
            <w:vAlign w:val="center"/>
          </w:tcPr>
          <w:p>
            <w:r>
              <w:rPr>
                <w:sz w:val="16"/>
              </w:rPr>
              <w:t>-0.063</w:t>
            </w:r>
          </w:p>
        </w:tc>
        <w:tc>
          <w:tcPr>
            <w:tcW w:type="dxa" w:w="1083"/>
            <w:vAlign w:val="center"/>
          </w:tcPr>
          <w:p>
            <w:r>
              <w:rPr>
                <w:sz w:val="16"/>
              </w:rPr>
              <w:t>0.280</w:t>
            </w:r>
          </w:p>
        </w:tc>
        <w:tc>
          <w:tcPr>
            <w:tcW w:type="dxa" w:w="1083"/>
            <w:vAlign w:val="center"/>
          </w:tcPr>
          <w:p>
            <w:r>
              <w:rPr>
                <w:sz w:val="16"/>
              </w:rPr>
              <w:t>0.086 to 1.418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Q²</w:t>
            </w:r>
          </w:p>
        </w:tc>
        <w:tc>
          <w:tcPr>
            <w:tcW w:type="dxa" w:w="1083"/>
            <w:vAlign w:val="center"/>
          </w:tcPr>
          <w:p>
            <w:r>
              <w:rPr>
                <w:sz w:val="16"/>
              </w:rPr>
              <w:t>-0.348</w:t>
            </w:r>
          </w:p>
        </w:tc>
        <w:tc>
          <w:tcPr>
            <w:tcW w:type="dxa" w:w="1083"/>
            <w:vAlign w:val="center"/>
          </w:tcPr>
          <w:p>
            <w:r>
              <w:rPr>
                <w:sz w:val="16"/>
              </w:rPr>
              <w:t>-0.059</w:t>
            </w:r>
          </w:p>
        </w:tc>
        <w:tc>
          <w:tcPr>
            <w:tcW w:type="dxa" w:w="1083"/>
            <w:vAlign w:val="center"/>
          </w:tcPr>
          <w:p>
            <w:r>
              <w:rPr>
                <w:sz w:val="16"/>
              </w:rPr>
              <w:t>0.289</w:t>
            </w:r>
          </w:p>
        </w:tc>
        <w:tc>
          <w:tcPr>
            <w:tcW w:type="dxa" w:w="1083"/>
            <w:vAlign w:val="center"/>
          </w:tcPr>
          <w:p>
            <w:r>
              <w:rPr>
                <w:sz w:val="16"/>
              </w:rPr>
              <w:t>0.123 to 0.480</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Q²</w:t>
            </w:r>
          </w:p>
        </w:tc>
        <w:tc>
          <w:tcPr>
            <w:tcW w:type="dxa" w:w="1083"/>
            <w:vAlign w:val="center"/>
          </w:tcPr>
          <w:p>
            <w:r>
              <w:rPr>
                <w:sz w:val="16"/>
              </w:rPr>
              <w:t>-0.394</w:t>
            </w:r>
          </w:p>
        </w:tc>
        <w:tc>
          <w:tcPr>
            <w:tcW w:type="dxa" w:w="1083"/>
            <w:vAlign w:val="center"/>
          </w:tcPr>
          <w:p>
            <w:r>
              <w:rPr>
                <w:sz w:val="16"/>
              </w:rPr>
              <w:t>-0.073</w:t>
            </w:r>
          </w:p>
        </w:tc>
        <w:tc>
          <w:tcPr>
            <w:tcW w:type="dxa" w:w="1083"/>
            <w:vAlign w:val="center"/>
          </w:tcPr>
          <w:p>
            <w:r>
              <w:rPr>
                <w:sz w:val="16"/>
              </w:rPr>
              <w:t>0.321</w:t>
            </w:r>
          </w:p>
        </w:tc>
        <w:tc>
          <w:tcPr>
            <w:tcW w:type="dxa" w:w="1083"/>
            <w:vAlign w:val="center"/>
          </w:tcPr>
          <w:p>
            <w:r>
              <w:rPr>
                <w:sz w:val="16"/>
              </w:rPr>
              <w:t>0.070 to 0.896</w:t>
            </w:r>
          </w:p>
        </w:tc>
        <w:tc>
          <w:tcPr>
            <w:tcW w:type="dxa" w:w="1083"/>
            <w:vAlign w:val="center"/>
          </w:tcPr>
          <w:p>
            <w:r>
              <w:rPr>
                <w:sz w:val="16"/>
              </w:rPr>
              <w:t>ridge</w:t>
            </w:r>
          </w:p>
        </w:tc>
      </w:tr>
    </w:tbl>
    <w:p/>
    <w:p>
      <w:pPr>
        <w:pStyle w:val="Caption"/>
      </w:pPr>
      <w:r>
        <w:t>Panel C. Target-level secondary metric; binary balanced accuracy uses operating thresholds selected identically for both methods.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BA</w:t>
            </w:r>
          </w:p>
        </w:tc>
        <w:tc>
          <w:tcPr>
            <w:tcW w:type="dxa" w:w="1083"/>
            <w:vAlign w:val="center"/>
          </w:tcPr>
          <w:p>
            <w:r>
              <w:rPr>
                <w:sz w:val="16"/>
              </w:rPr>
              <w:t>0.820</w:t>
            </w:r>
          </w:p>
        </w:tc>
        <w:tc>
          <w:tcPr>
            <w:tcW w:type="dxa" w:w="1083"/>
            <w:vAlign w:val="center"/>
          </w:tcPr>
          <w:p>
            <w:r>
              <w:rPr>
                <w:sz w:val="16"/>
              </w:rPr>
              <w:t>0.809</w:t>
            </w:r>
          </w:p>
        </w:tc>
        <w:tc>
          <w:tcPr>
            <w:tcW w:type="dxa" w:w="1083"/>
            <w:vAlign w:val="center"/>
          </w:tcPr>
          <w:p>
            <w:r>
              <w:rPr>
                <w:sz w:val="16"/>
              </w:rPr>
              <w:t>-0.011</w:t>
            </w:r>
          </w:p>
        </w:tc>
        <w:tc>
          <w:tcPr>
            <w:tcW w:type="dxa" w:w="1083"/>
            <w:vAlign w:val="center"/>
          </w:tcPr>
          <w:p>
            <w:r>
              <w:rPr>
                <w:sz w:val="16"/>
              </w:rPr>
              <w:t>-0.042 to 0.020</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BA</w:t>
            </w:r>
          </w:p>
        </w:tc>
        <w:tc>
          <w:tcPr>
            <w:tcW w:type="dxa" w:w="1083"/>
            <w:vAlign w:val="center"/>
          </w:tcPr>
          <w:p>
            <w:r>
              <w:rPr>
                <w:sz w:val="16"/>
              </w:rPr>
              <w:t>0.766</w:t>
            </w:r>
          </w:p>
        </w:tc>
        <w:tc>
          <w:tcPr>
            <w:tcW w:type="dxa" w:w="1083"/>
            <w:vAlign w:val="center"/>
          </w:tcPr>
          <w:p>
            <w:r>
              <w:rPr>
                <w:sz w:val="16"/>
              </w:rPr>
              <w:t>0.772</w:t>
            </w:r>
          </w:p>
        </w:tc>
        <w:tc>
          <w:tcPr>
            <w:tcW w:type="dxa" w:w="1083"/>
            <w:vAlign w:val="center"/>
          </w:tcPr>
          <w:p>
            <w:r>
              <w:rPr>
                <w:sz w:val="16"/>
              </w:rPr>
              <w:t>0.006</w:t>
            </w:r>
          </w:p>
        </w:tc>
        <w:tc>
          <w:tcPr>
            <w:tcW w:type="dxa" w:w="1083"/>
            <w:vAlign w:val="center"/>
          </w:tcPr>
          <w:p>
            <w:r>
              <w:rPr>
                <w:sz w:val="16"/>
              </w:rPr>
              <w:t>-0.017 to 0.031</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BA</w:t>
            </w:r>
          </w:p>
        </w:tc>
        <w:tc>
          <w:tcPr>
            <w:tcW w:type="dxa" w:w="1083"/>
            <w:vAlign w:val="center"/>
          </w:tcPr>
          <w:p>
            <w:r>
              <w:rPr>
                <w:sz w:val="16"/>
              </w:rPr>
              <w:t>0.716</w:t>
            </w:r>
          </w:p>
        </w:tc>
        <w:tc>
          <w:tcPr>
            <w:tcW w:type="dxa" w:w="1083"/>
            <w:vAlign w:val="center"/>
          </w:tcPr>
          <w:p>
            <w:r>
              <w:rPr>
                <w:sz w:val="16"/>
              </w:rPr>
              <w:t>0.793</w:t>
            </w:r>
          </w:p>
        </w:tc>
        <w:tc>
          <w:tcPr>
            <w:tcW w:type="dxa" w:w="1083"/>
            <w:vAlign w:val="center"/>
          </w:tcPr>
          <w:p>
            <w:r>
              <w:rPr>
                <w:sz w:val="16"/>
              </w:rPr>
              <w:t>0.077</w:t>
            </w:r>
          </w:p>
        </w:tc>
        <w:tc>
          <w:tcPr>
            <w:tcW w:type="dxa" w:w="1083"/>
            <w:vAlign w:val="center"/>
          </w:tcPr>
          <w:p>
            <w:r>
              <w:rPr>
                <w:sz w:val="16"/>
              </w:rPr>
              <w:t>0.028 to 0.129</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BA</w:t>
            </w:r>
          </w:p>
        </w:tc>
        <w:tc>
          <w:tcPr>
            <w:tcW w:type="dxa" w:w="1083"/>
            <w:vAlign w:val="center"/>
          </w:tcPr>
          <w:p>
            <w:r>
              <w:rPr>
                <w:sz w:val="16"/>
              </w:rPr>
              <w:t>0.698</w:t>
            </w:r>
          </w:p>
        </w:tc>
        <w:tc>
          <w:tcPr>
            <w:tcW w:type="dxa" w:w="1083"/>
            <w:vAlign w:val="center"/>
          </w:tcPr>
          <w:p>
            <w:r>
              <w:rPr>
                <w:sz w:val="16"/>
              </w:rPr>
              <w:t>0.706</w:t>
            </w:r>
          </w:p>
        </w:tc>
        <w:tc>
          <w:tcPr>
            <w:tcW w:type="dxa" w:w="1083"/>
            <w:vAlign w:val="center"/>
          </w:tcPr>
          <w:p>
            <w:r>
              <w:rPr>
                <w:sz w:val="16"/>
              </w:rPr>
              <w:t>0.009</w:t>
            </w:r>
          </w:p>
        </w:tc>
        <w:tc>
          <w:tcPr>
            <w:tcW w:type="dxa" w:w="1083"/>
            <w:vAlign w:val="center"/>
          </w:tcPr>
          <w:p>
            <w:r>
              <w:rPr>
                <w:sz w:val="16"/>
              </w:rPr>
              <w:t>-0.003 to 0.021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BA</w:t>
            </w:r>
          </w:p>
        </w:tc>
        <w:tc>
          <w:tcPr>
            <w:tcW w:type="dxa" w:w="1083"/>
            <w:vAlign w:val="center"/>
          </w:tcPr>
          <w:p>
            <w:r>
              <w:rPr>
                <w:sz w:val="16"/>
              </w:rPr>
              <w:t>0.676</w:t>
            </w:r>
          </w:p>
        </w:tc>
        <w:tc>
          <w:tcPr>
            <w:tcW w:type="dxa" w:w="1083"/>
            <w:vAlign w:val="center"/>
          </w:tcPr>
          <w:p>
            <w:r>
              <w:rPr>
                <w:sz w:val="16"/>
              </w:rPr>
              <w:t>0.685</w:t>
            </w:r>
          </w:p>
        </w:tc>
        <w:tc>
          <w:tcPr>
            <w:tcW w:type="dxa" w:w="1083"/>
            <w:vAlign w:val="center"/>
          </w:tcPr>
          <w:p>
            <w:r>
              <w:rPr>
                <w:sz w:val="16"/>
              </w:rPr>
              <w:t>0.010</w:t>
            </w:r>
          </w:p>
        </w:tc>
        <w:tc>
          <w:tcPr>
            <w:tcW w:type="dxa" w:w="1083"/>
            <w:vAlign w:val="center"/>
          </w:tcPr>
          <w:p>
            <w:r>
              <w:rPr>
                <w:sz w:val="16"/>
              </w:rPr>
              <w:t>-0.015 to 0.035</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BA</w:t>
            </w:r>
          </w:p>
        </w:tc>
        <w:tc>
          <w:tcPr>
            <w:tcW w:type="dxa" w:w="1083"/>
            <w:vAlign w:val="center"/>
          </w:tcPr>
          <w:p>
            <w:r>
              <w:rPr>
                <w:sz w:val="16"/>
              </w:rPr>
              <w:t>0.673</w:t>
            </w:r>
          </w:p>
        </w:tc>
        <w:tc>
          <w:tcPr>
            <w:tcW w:type="dxa" w:w="1083"/>
            <w:vAlign w:val="center"/>
          </w:tcPr>
          <w:p>
            <w:r>
              <w:rPr>
                <w:sz w:val="16"/>
              </w:rPr>
              <w:t>0.682</w:t>
            </w:r>
          </w:p>
        </w:tc>
        <w:tc>
          <w:tcPr>
            <w:tcW w:type="dxa" w:w="1083"/>
            <w:vAlign w:val="center"/>
          </w:tcPr>
          <w:p>
            <w:r>
              <w:rPr>
                <w:sz w:val="16"/>
              </w:rPr>
              <w:t>0.009</w:t>
            </w:r>
          </w:p>
        </w:tc>
        <w:tc>
          <w:tcPr>
            <w:tcW w:type="dxa" w:w="1083"/>
            <w:vAlign w:val="center"/>
          </w:tcPr>
          <w:p>
            <w:r>
              <w:rPr>
                <w:sz w:val="16"/>
              </w:rPr>
              <w:t>-0.014 to 0.030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BA</w:t>
            </w:r>
          </w:p>
        </w:tc>
        <w:tc>
          <w:tcPr>
            <w:tcW w:type="dxa" w:w="1083"/>
            <w:vAlign w:val="center"/>
          </w:tcPr>
          <w:p>
            <w:r>
              <w:rPr>
                <w:sz w:val="16"/>
              </w:rPr>
              <w:t>0.669</w:t>
            </w:r>
          </w:p>
        </w:tc>
        <w:tc>
          <w:tcPr>
            <w:tcW w:type="dxa" w:w="1083"/>
            <w:vAlign w:val="center"/>
          </w:tcPr>
          <w:p>
            <w:r>
              <w:rPr>
                <w:sz w:val="16"/>
              </w:rPr>
              <w:t>0.677</w:t>
            </w:r>
          </w:p>
        </w:tc>
        <w:tc>
          <w:tcPr>
            <w:tcW w:type="dxa" w:w="1083"/>
            <w:vAlign w:val="center"/>
          </w:tcPr>
          <w:p>
            <w:r>
              <w:rPr>
                <w:sz w:val="16"/>
              </w:rPr>
              <w:t>0.008</w:t>
            </w:r>
          </w:p>
        </w:tc>
        <w:tc>
          <w:tcPr>
            <w:tcW w:type="dxa" w:w="1083"/>
            <w:vAlign w:val="center"/>
          </w:tcPr>
          <w:p>
            <w:r>
              <w:rPr>
                <w:sz w:val="16"/>
              </w:rPr>
              <w:t>-0.008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BA</w:t>
            </w:r>
          </w:p>
        </w:tc>
        <w:tc>
          <w:tcPr>
            <w:tcW w:type="dxa" w:w="1083"/>
            <w:vAlign w:val="center"/>
          </w:tcPr>
          <w:p>
            <w:r>
              <w:rPr>
                <w:sz w:val="16"/>
              </w:rPr>
              <w:t>0.640</w:t>
            </w:r>
          </w:p>
        </w:tc>
        <w:tc>
          <w:tcPr>
            <w:tcW w:type="dxa" w:w="1083"/>
            <w:vAlign w:val="center"/>
          </w:tcPr>
          <w:p>
            <w:r>
              <w:rPr>
                <w:sz w:val="16"/>
              </w:rPr>
              <w:t>0.633</w:t>
            </w:r>
          </w:p>
        </w:tc>
        <w:tc>
          <w:tcPr>
            <w:tcW w:type="dxa" w:w="1083"/>
            <w:vAlign w:val="center"/>
          </w:tcPr>
          <w:p>
            <w:r>
              <w:rPr>
                <w:sz w:val="16"/>
              </w:rPr>
              <w:t>-0.007</w:t>
            </w:r>
          </w:p>
        </w:tc>
        <w:tc>
          <w:tcPr>
            <w:tcW w:type="dxa" w:w="1083"/>
            <w:vAlign w:val="center"/>
          </w:tcPr>
          <w:p>
            <w:r>
              <w:rPr>
                <w:sz w:val="16"/>
              </w:rPr>
              <w:t>-0.034 to 0.020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BA</w:t>
            </w:r>
          </w:p>
        </w:tc>
        <w:tc>
          <w:tcPr>
            <w:tcW w:type="dxa" w:w="1083"/>
            <w:vAlign w:val="center"/>
          </w:tcPr>
          <w:p>
            <w:r>
              <w:rPr>
                <w:sz w:val="16"/>
              </w:rPr>
              <w:t>0.621</w:t>
            </w:r>
          </w:p>
        </w:tc>
        <w:tc>
          <w:tcPr>
            <w:tcW w:type="dxa" w:w="1083"/>
            <w:vAlign w:val="center"/>
          </w:tcPr>
          <w:p>
            <w:r>
              <w:rPr>
                <w:sz w:val="16"/>
              </w:rPr>
              <w:t>0.631</w:t>
            </w:r>
          </w:p>
        </w:tc>
        <w:tc>
          <w:tcPr>
            <w:tcW w:type="dxa" w:w="1083"/>
            <w:vAlign w:val="center"/>
          </w:tcPr>
          <w:p>
            <w:r>
              <w:rPr>
                <w:sz w:val="16"/>
              </w:rPr>
              <w:t>0.009</w:t>
            </w:r>
          </w:p>
        </w:tc>
        <w:tc>
          <w:tcPr>
            <w:tcW w:type="dxa" w:w="1083"/>
            <w:vAlign w:val="center"/>
          </w:tcPr>
          <w:p>
            <w:r>
              <w:rPr>
                <w:sz w:val="16"/>
              </w:rPr>
              <w:t>-0.026 to 0.044</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BA</w:t>
            </w:r>
          </w:p>
        </w:tc>
        <w:tc>
          <w:tcPr>
            <w:tcW w:type="dxa" w:w="1083"/>
            <w:vAlign w:val="center"/>
          </w:tcPr>
          <w:p>
            <w:r>
              <w:rPr>
                <w:sz w:val="16"/>
              </w:rPr>
              <w:t>0.636</w:t>
            </w:r>
          </w:p>
        </w:tc>
        <w:tc>
          <w:tcPr>
            <w:tcW w:type="dxa" w:w="1083"/>
            <w:vAlign w:val="center"/>
          </w:tcPr>
          <w:p>
            <w:r>
              <w:rPr>
                <w:sz w:val="16"/>
              </w:rPr>
              <w:t>0.671</w:t>
            </w:r>
          </w:p>
        </w:tc>
        <w:tc>
          <w:tcPr>
            <w:tcW w:type="dxa" w:w="1083"/>
            <w:vAlign w:val="center"/>
          </w:tcPr>
          <w:p>
            <w:r>
              <w:rPr>
                <w:sz w:val="16"/>
              </w:rPr>
              <w:t>0.035</w:t>
            </w:r>
          </w:p>
        </w:tc>
        <w:tc>
          <w:tcPr>
            <w:tcW w:type="dxa" w:w="1083"/>
            <w:vAlign w:val="center"/>
          </w:tcPr>
          <w:p>
            <w:r>
              <w:rPr>
                <w:sz w:val="16"/>
              </w:rPr>
              <w:t>0.015 to 0.056</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BA</w:t>
            </w:r>
          </w:p>
        </w:tc>
        <w:tc>
          <w:tcPr>
            <w:tcW w:type="dxa" w:w="1083"/>
            <w:vAlign w:val="center"/>
          </w:tcPr>
          <w:p>
            <w:r>
              <w:rPr>
                <w:sz w:val="16"/>
              </w:rPr>
              <w:t>0.643</w:t>
            </w:r>
          </w:p>
        </w:tc>
        <w:tc>
          <w:tcPr>
            <w:tcW w:type="dxa" w:w="1083"/>
            <w:vAlign w:val="center"/>
          </w:tcPr>
          <w:p>
            <w:r>
              <w:rPr>
                <w:sz w:val="16"/>
              </w:rPr>
              <w:t>0.655</w:t>
            </w:r>
          </w:p>
        </w:tc>
        <w:tc>
          <w:tcPr>
            <w:tcW w:type="dxa" w:w="1083"/>
            <w:vAlign w:val="center"/>
          </w:tcPr>
          <w:p>
            <w:r>
              <w:rPr>
                <w:sz w:val="16"/>
              </w:rPr>
              <w:t>0.012</w:t>
            </w:r>
          </w:p>
        </w:tc>
        <w:tc>
          <w:tcPr>
            <w:tcW w:type="dxa" w:w="1083"/>
            <w:vAlign w:val="center"/>
          </w:tcPr>
          <w:p>
            <w:r>
              <w:rPr>
                <w:sz w:val="16"/>
              </w:rPr>
              <w:t>-0.022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BA</w:t>
            </w:r>
          </w:p>
        </w:tc>
        <w:tc>
          <w:tcPr>
            <w:tcW w:type="dxa" w:w="1083"/>
            <w:vAlign w:val="center"/>
          </w:tcPr>
          <w:p>
            <w:r>
              <w:rPr>
                <w:sz w:val="16"/>
              </w:rPr>
              <w:t>0.612</w:t>
            </w:r>
          </w:p>
        </w:tc>
        <w:tc>
          <w:tcPr>
            <w:tcW w:type="dxa" w:w="1083"/>
            <w:vAlign w:val="center"/>
          </w:tcPr>
          <w:p>
            <w:r>
              <w:rPr>
                <w:sz w:val="16"/>
              </w:rPr>
              <w:t>0.619</w:t>
            </w:r>
          </w:p>
        </w:tc>
        <w:tc>
          <w:tcPr>
            <w:tcW w:type="dxa" w:w="1083"/>
            <w:vAlign w:val="center"/>
          </w:tcPr>
          <w:p>
            <w:r>
              <w:rPr>
                <w:sz w:val="16"/>
              </w:rPr>
              <w:t>0.007</w:t>
            </w:r>
          </w:p>
        </w:tc>
        <w:tc>
          <w:tcPr>
            <w:tcW w:type="dxa" w:w="1083"/>
            <w:vAlign w:val="center"/>
          </w:tcPr>
          <w:p>
            <w:r>
              <w:rPr>
                <w:sz w:val="16"/>
              </w:rPr>
              <w:t>-0.014 to 0.028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BA</w:t>
            </w:r>
          </w:p>
        </w:tc>
        <w:tc>
          <w:tcPr>
            <w:tcW w:type="dxa" w:w="1083"/>
            <w:vAlign w:val="center"/>
          </w:tcPr>
          <w:p>
            <w:r>
              <w:rPr>
                <w:sz w:val="16"/>
              </w:rPr>
              <w:t>0.625</w:t>
            </w:r>
          </w:p>
        </w:tc>
        <w:tc>
          <w:tcPr>
            <w:tcW w:type="dxa" w:w="1083"/>
            <w:vAlign w:val="center"/>
          </w:tcPr>
          <w:p>
            <w:r>
              <w:rPr>
                <w:sz w:val="16"/>
              </w:rPr>
              <w:t>0.612</w:t>
            </w:r>
          </w:p>
        </w:tc>
        <w:tc>
          <w:tcPr>
            <w:tcW w:type="dxa" w:w="1083"/>
            <w:vAlign w:val="center"/>
          </w:tcPr>
          <w:p>
            <w:r>
              <w:rPr>
                <w:sz w:val="16"/>
              </w:rPr>
              <w:t>-0.014</w:t>
            </w:r>
          </w:p>
        </w:tc>
        <w:tc>
          <w:tcPr>
            <w:tcW w:type="dxa" w:w="1083"/>
            <w:vAlign w:val="center"/>
          </w:tcPr>
          <w:p>
            <w:r>
              <w:rPr>
                <w:sz w:val="16"/>
              </w:rPr>
              <w:t>-0.051 to 0.024</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0.621</w:t>
            </w:r>
          </w:p>
        </w:tc>
        <w:tc>
          <w:tcPr>
            <w:tcW w:type="dxa" w:w="1083"/>
            <w:vAlign w:val="center"/>
          </w:tcPr>
          <w:p>
            <w:r>
              <w:rPr>
                <w:sz w:val="16"/>
              </w:rPr>
              <w:t>0.016</w:t>
            </w:r>
          </w:p>
        </w:tc>
        <w:tc>
          <w:tcPr>
            <w:tcW w:type="dxa" w:w="1083"/>
            <w:vAlign w:val="center"/>
          </w:tcPr>
          <w:p>
            <w:r>
              <w:rPr>
                <w:sz w:val="16"/>
              </w:rPr>
              <w:t>-0.008 to 0.039</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0.642</w:t>
            </w:r>
          </w:p>
        </w:tc>
        <w:tc>
          <w:tcPr>
            <w:tcW w:type="dxa" w:w="1083"/>
            <w:vAlign w:val="center"/>
          </w:tcPr>
          <w:p>
            <w:r>
              <w:rPr>
                <w:sz w:val="16"/>
              </w:rPr>
              <w:t>0.038</w:t>
            </w:r>
          </w:p>
        </w:tc>
        <w:tc>
          <w:tcPr>
            <w:tcW w:type="dxa" w:w="1083"/>
            <w:vAlign w:val="center"/>
          </w:tcPr>
          <w:p>
            <w:r>
              <w:rPr>
                <w:sz w:val="16"/>
              </w:rPr>
              <w:t>0.013 to 0.061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BA</w:t>
            </w:r>
          </w:p>
        </w:tc>
        <w:tc>
          <w:tcPr>
            <w:tcW w:type="dxa" w:w="1083"/>
            <w:vAlign w:val="center"/>
          </w:tcPr>
          <w:p>
            <w:r>
              <w:rPr>
                <w:sz w:val="16"/>
              </w:rPr>
              <w:t>0.590</w:t>
            </w:r>
          </w:p>
        </w:tc>
        <w:tc>
          <w:tcPr>
            <w:tcW w:type="dxa" w:w="1083"/>
            <w:vAlign w:val="center"/>
          </w:tcPr>
          <w:p>
            <w:r>
              <w:rPr>
                <w:sz w:val="16"/>
              </w:rPr>
              <w:t>0.617</w:t>
            </w:r>
          </w:p>
        </w:tc>
        <w:tc>
          <w:tcPr>
            <w:tcW w:type="dxa" w:w="1083"/>
            <w:vAlign w:val="center"/>
          </w:tcPr>
          <w:p>
            <w:r>
              <w:rPr>
                <w:sz w:val="16"/>
              </w:rPr>
              <w:t>0.027</w:t>
            </w:r>
          </w:p>
        </w:tc>
        <w:tc>
          <w:tcPr>
            <w:tcW w:type="dxa" w:w="1083"/>
            <w:vAlign w:val="center"/>
          </w:tcPr>
          <w:p>
            <w:r>
              <w:rPr>
                <w:sz w:val="16"/>
              </w:rPr>
              <w:t>-0.006 to 0.061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BA</w:t>
            </w:r>
          </w:p>
        </w:tc>
        <w:tc>
          <w:tcPr>
            <w:tcW w:type="dxa" w:w="1083"/>
            <w:vAlign w:val="center"/>
          </w:tcPr>
          <w:p>
            <w:r>
              <w:rPr>
                <w:sz w:val="16"/>
              </w:rPr>
              <w:t>0.578</w:t>
            </w:r>
          </w:p>
        </w:tc>
        <w:tc>
          <w:tcPr>
            <w:tcW w:type="dxa" w:w="1083"/>
            <w:vAlign w:val="center"/>
          </w:tcPr>
          <w:p>
            <w:r>
              <w:rPr>
                <w:sz w:val="16"/>
              </w:rPr>
              <w:t>0.614</w:t>
            </w:r>
          </w:p>
        </w:tc>
        <w:tc>
          <w:tcPr>
            <w:tcW w:type="dxa" w:w="1083"/>
            <w:vAlign w:val="center"/>
          </w:tcPr>
          <w:p>
            <w:r>
              <w:rPr>
                <w:sz w:val="16"/>
              </w:rPr>
              <w:t>0.036</w:t>
            </w:r>
          </w:p>
        </w:tc>
        <w:tc>
          <w:tcPr>
            <w:tcW w:type="dxa" w:w="1083"/>
            <w:vAlign w:val="center"/>
          </w:tcPr>
          <w:p>
            <w:r>
              <w:rPr>
                <w:sz w:val="16"/>
              </w:rPr>
              <w:t>-0.009 to 0.077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BA</w:t>
            </w:r>
          </w:p>
        </w:tc>
        <w:tc>
          <w:tcPr>
            <w:tcW w:type="dxa" w:w="1083"/>
            <w:vAlign w:val="center"/>
          </w:tcPr>
          <w:p>
            <w:r>
              <w:rPr>
                <w:sz w:val="16"/>
              </w:rPr>
              <w:t>0.594</w:t>
            </w:r>
          </w:p>
        </w:tc>
        <w:tc>
          <w:tcPr>
            <w:tcW w:type="dxa" w:w="1083"/>
            <w:vAlign w:val="center"/>
          </w:tcPr>
          <w:p>
            <w:r>
              <w:rPr>
                <w:sz w:val="16"/>
              </w:rPr>
              <w:t>0.616</w:t>
            </w:r>
          </w:p>
        </w:tc>
        <w:tc>
          <w:tcPr>
            <w:tcW w:type="dxa" w:w="1083"/>
            <w:vAlign w:val="center"/>
          </w:tcPr>
          <w:p>
            <w:r>
              <w:rPr>
                <w:sz w:val="16"/>
              </w:rPr>
              <w:t>0.023</w:t>
            </w:r>
          </w:p>
        </w:tc>
        <w:tc>
          <w:tcPr>
            <w:tcW w:type="dxa" w:w="1083"/>
            <w:vAlign w:val="center"/>
          </w:tcPr>
          <w:p>
            <w:r>
              <w:rPr>
                <w:sz w:val="16"/>
              </w:rPr>
              <w:t>-0.018 to 0.061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BA</w:t>
            </w:r>
          </w:p>
        </w:tc>
        <w:tc>
          <w:tcPr>
            <w:tcW w:type="dxa" w:w="1083"/>
            <w:vAlign w:val="center"/>
          </w:tcPr>
          <w:p>
            <w:r>
              <w:rPr>
                <w:sz w:val="16"/>
              </w:rPr>
              <w:t>0.616</w:t>
            </w:r>
          </w:p>
        </w:tc>
        <w:tc>
          <w:tcPr>
            <w:tcW w:type="dxa" w:w="1083"/>
            <w:vAlign w:val="center"/>
          </w:tcPr>
          <w:p>
            <w:r>
              <w:rPr>
                <w:sz w:val="16"/>
              </w:rPr>
              <w:t>0.620</w:t>
            </w:r>
          </w:p>
        </w:tc>
        <w:tc>
          <w:tcPr>
            <w:tcW w:type="dxa" w:w="1083"/>
            <w:vAlign w:val="center"/>
          </w:tcPr>
          <w:p>
            <w:r>
              <w:rPr>
                <w:sz w:val="16"/>
              </w:rPr>
              <w:t>0.004</w:t>
            </w:r>
          </w:p>
        </w:tc>
        <w:tc>
          <w:tcPr>
            <w:tcW w:type="dxa" w:w="1083"/>
            <w:vAlign w:val="center"/>
          </w:tcPr>
          <w:p>
            <w:r>
              <w:rPr>
                <w:sz w:val="16"/>
              </w:rPr>
              <w:t>-0.021 to 0.030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BA</w:t>
            </w:r>
          </w:p>
        </w:tc>
        <w:tc>
          <w:tcPr>
            <w:tcW w:type="dxa" w:w="1083"/>
            <w:vAlign w:val="center"/>
          </w:tcPr>
          <w:p>
            <w:r>
              <w:rPr>
                <w:sz w:val="16"/>
              </w:rPr>
              <w:t>0.589</w:t>
            </w:r>
          </w:p>
        </w:tc>
        <w:tc>
          <w:tcPr>
            <w:tcW w:type="dxa" w:w="1083"/>
            <w:vAlign w:val="center"/>
          </w:tcPr>
          <w:p>
            <w:r>
              <w:rPr>
                <w:sz w:val="16"/>
              </w:rPr>
              <w:t>0.569</w:t>
            </w:r>
          </w:p>
        </w:tc>
        <w:tc>
          <w:tcPr>
            <w:tcW w:type="dxa" w:w="1083"/>
            <w:vAlign w:val="center"/>
          </w:tcPr>
          <w:p>
            <w:r>
              <w:rPr>
                <w:sz w:val="16"/>
              </w:rPr>
              <w:t>-0.020</w:t>
            </w:r>
          </w:p>
        </w:tc>
        <w:tc>
          <w:tcPr>
            <w:tcW w:type="dxa" w:w="1083"/>
            <w:vAlign w:val="center"/>
          </w:tcPr>
          <w:p>
            <w:r>
              <w:rPr>
                <w:sz w:val="16"/>
              </w:rPr>
              <w:t>-0.063 to 0.027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BA</w:t>
            </w:r>
          </w:p>
        </w:tc>
        <w:tc>
          <w:tcPr>
            <w:tcW w:type="dxa" w:w="1083"/>
            <w:vAlign w:val="center"/>
          </w:tcPr>
          <w:p>
            <w:r>
              <w:rPr>
                <w:sz w:val="16"/>
              </w:rPr>
              <w:t>0.572</w:t>
            </w:r>
          </w:p>
        </w:tc>
        <w:tc>
          <w:tcPr>
            <w:tcW w:type="dxa" w:w="1083"/>
            <w:vAlign w:val="center"/>
          </w:tcPr>
          <w:p>
            <w:r>
              <w:rPr>
                <w:sz w:val="16"/>
              </w:rPr>
              <w:t>0.584</w:t>
            </w:r>
          </w:p>
        </w:tc>
        <w:tc>
          <w:tcPr>
            <w:tcW w:type="dxa" w:w="1083"/>
            <w:vAlign w:val="center"/>
          </w:tcPr>
          <w:p>
            <w:r>
              <w:rPr>
                <w:sz w:val="16"/>
              </w:rPr>
              <w:t>0.012</w:t>
            </w:r>
          </w:p>
        </w:tc>
        <w:tc>
          <w:tcPr>
            <w:tcW w:type="dxa" w:w="1083"/>
            <w:vAlign w:val="center"/>
          </w:tcPr>
          <w:p>
            <w:r>
              <w:rPr>
                <w:sz w:val="16"/>
              </w:rPr>
              <w:t>-0.012 to 0.037</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BA</w:t>
            </w:r>
          </w:p>
        </w:tc>
        <w:tc>
          <w:tcPr>
            <w:tcW w:type="dxa" w:w="1083"/>
            <w:vAlign w:val="center"/>
          </w:tcPr>
          <w:p>
            <w:r>
              <w:rPr>
                <w:sz w:val="16"/>
              </w:rPr>
              <w:t>0.556</w:t>
            </w:r>
          </w:p>
        </w:tc>
        <w:tc>
          <w:tcPr>
            <w:tcW w:type="dxa" w:w="1083"/>
            <w:vAlign w:val="center"/>
          </w:tcPr>
          <w:p>
            <w:r>
              <w:rPr>
                <w:sz w:val="16"/>
              </w:rPr>
              <w:t>0.571</w:t>
            </w:r>
          </w:p>
        </w:tc>
        <w:tc>
          <w:tcPr>
            <w:tcW w:type="dxa" w:w="1083"/>
            <w:vAlign w:val="center"/>
          </w:tcPr>
          <w:p>
            <w:r>
              <w:rPr>
                <w:sz w:val="16"/>
              </w:rPr>
              <w:t>0.015</w:t>
            </w:r>
          </w:p>
        </w:tc>
        <w:tc>
          <w:tcPr>
            <w:tcW w:type="dxa" w:w="1083"/>
            <w:vAlign w:val="center"/>
          </w:tcPr>
          <w:p>
            <w:r>
              <w:rPr>
                <w:sz w:val="16"/>
              </w:rPr>
              <w:t>-0.018 to 0.047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BA</w:t>
            </w:r>
          </w:p>
        </w:tc>
        <w:tc>
          <w:tcPr>
            <w:tcW w:type="dxa" w:w="1083"/>
            <w:vAlign w:val="center"/>
          </w:tcPr>
          <w:p>
            <w:r>
              <w:rPr>
                <w:sz w:val="16"/>
              </w:rPr>
              <w:t>0.573</w:t>
            </w:r>
          </w:p>
        </w:tc>
        <w:tc>
          <w:tcPr>
            <w:tcW w:type="dxa" w:w="1083"/>
            <w:vAlign w:val="center"/>
          </w:tcPr>
          <w:p>
            <w:r>
              <w:rPr>
                <w:sz w:val="16"/>
              </w:rPr>
              <w:t>0.568</w:t>
            </w:r>
          </w:p>
        </w:tc>
        <w:tc>
          <w:tcPr>
            <w:tcW w:type="dxa" w:w="1083"/>
            <w:vAlign w:val="center"/>
          </w:tcPr>
          <w:p>
            <w:r>
              <w:rPr>
                <w:sz w:val="16"/>
              </w:rPr>
              <w:t>-0.005</w:t>
            </w:r>
          </w:p>
        </w:tc>
        <w:tc>
          <w:tcPr>
            <w:tcW w:type="dxa" w:w="1083"/>
            <w:vAlign w:val="center"/>
          </w:tcPr>
          <w:p>
            <w:r>
              <w:rPr>
                <w:sz w:val="16"/>
              </w:rPr>
              <w:t>-0.024 to 0.012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BA</w:t>
            </w:r>
          </w:p>
        </w:tc>
        <w:tc>
          <w:tcPr>
            <w:tcW w:type="dxa" w:w="1083"/>
            <w:vAlign w:val="center"/>
          </w:tcPr>
          <w:p>
            <w:r>
              <w:rPr>
                <w:sz w:val="16"/>
              </w:rPr>
              <w:t>0.526</w:t>
            </w:r>
          </w:p>
        </w:tc>
        <w:tc>
          <w:tcPr>
            <w:tcW w:type="dxa" w:w="1083"/>
            <w:vAlign w:val="center"/>
          </w:tcPr>
          <w:p>
            <w:r>
              <w:rPr>
                <w:sz w:val="16"/>
              </w:rPr>
              <w:t>0.545</w:t>
            </w:r>
          </w:p>
        </w:tc>
        <w:tc>
          <w:tcPr>
            <w:tcW w:type="dxa" w:w="1083"/>
            <w:vAlign w:val="center"/>
          </w:tcPr>
          <w:p>
            <w:r>
              <w:rPr>
                <w:sz w:val="16"/>
              </w:rPr>
              <w:t>0.019</w:t>
            </w:r>
          </w:p>
        </w:tc>
        <w:tc>
          <w:tcPr>
            <w:tcW w:type="dxa" w:w="1083"/>
            <w:vAlign w:val="center"/>
          </w:tcPr>
          <w:p>
            <w:r>
              <w:rPr>
                <w:sz w:val="16"/>
              </w:rPr>
              <w:t>-0.032 to 0.074</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BA</w:t>
            </w:r>
          </w:p>
        </w:tc>
        <w:tc>
          <w:tcPr>
            <w:tcW w:type="dxa" w:w="1083"/>
            <w:vAlign w:val="center"/>
          </w:tcPr>
          <w:p>
            <w:r>
              <w:rPr>
                <w:sz w:val="16"/>
              </w:rPr>
              <w:t>0.544</w:t>
            </w:r>
          </w:p>
        </w:tc>
        <w:tc>
          <w:tcPr>
            <w:tcW w:type="dxa" w:w="1083"/>
            <w:vAlign w:val="center"/>
          </w:tcPr>
          <w:p>
            <w:r>
              <w:rPr>
                <w:sz w:val="16"/>
              </w:rPr>
              <w:t>0.556</w:t>
            </w:r>
          </w:p>
        </w:tc>
        <w:tc>
          <w:tcPr>
            <w:tcW w:type="dxa" w:w="1083"/>
            <w:vAlign w:val="center"/>
          </w:tcPr>
          <w:p>
            <w:r>
              <w:rPr>
                <w:sz w:val="16"/>
              </w:rPr>
              <w:t>0.012</w:t>
            </w:r>
          </w:p>
        </w:tc>
        <w:tc>
          <w:tcPr>
            <w:tcW w:type="dxa" w:w="1083"/>
            <w:vAlign w:val="center"/>
          </w:tcPr>
          <w:p>
            <w:r>
              <w:rPr>
                <w:sz w:val="16"/>
              </w:rPr>
              <w:t>-0.012 to 0.036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BA</w:t>
            </w:r>
          </w:p>
        </w:tc>
        <w:tc>
          <w:tcPr>
            <w:tcW w:type="dxa" w:w="1083"/>
            <w:vAlign w:val="center"/>
          </w:tcPr>
          <w:p>
            <w:r>
              <w:rPr>
                <w:sz w:val="16"/>
              </w:rPr>
              <w:t>0.557</w:t>
            </w:r>
          </w:p>
        </w:tc>
        <w:tc>
          <w:tcPr>
            <w:tcW w:type="dxa" w:w="1083"/>
            <w:vAlign w:val="center"/>
          </w:tcPr>
          <w:p>
            <w:r>
              <w:rPr>
                <w:sz w:val="16"/>
              </w:rPr>
              <w:t>0.555</w:t>
            </w:r>
          </w:p>
        </w:tc>
        <w:tc>
          <w:tcPr>
            <w:tcW w:type="dxa" w:w="1083"/>
            <w:vAlign w:val="center"/>
          </w:tcPr>
          <w:p>
            <w:r>
              <w:rPr>
                <w:sz w:val="16"/>
              </w:rPr>
              <w:t>-0.001</w:t>
            </w:r>
          </w:p>
        </w:tc>
        <w:tc>
          <w:tcPr>
            <w:tcW w:type="dxa" w:w="1083"/>
            <w:vAlign w:val="center"/>
          </w:tcPr>
          <w:p>
            <w:r>
              <w:rPr>
                <w:sz w:val="16"/>
              </w:rPr>
              <w:t>-0.028 to 0.025</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BA</w:t>
            </w:r>
          </w:p>
        </w:tc>
        <w:tc>
          <w:tcPr>
            <w:tcW w:type="dxa" w:w="1083"/>
            <w:vAlign w:val="center"/>
          </w:tcPr>
          <w:p>
            <w:r>
              <w:rPr>
                <w:sz w:val="16"/>
              </w:rPr>
              <w:t>0.529</w:t>
            </w:r>
          </w:p>
        </w:tc>
        <w:tc>
          <w:tcPr>
            <w:tcW w:type="dxa" w:w="1083"/>
            <w:vAlign w:val="center"/>
          </w:tcPr>
          <w:p>
            <w:r>
              <w:rPr>
                <w:sz w:val="16"/>
              </w:rPr>
              <w:t>0.537</w:t>
            </w:r>
          </w:p>
        </w:tc>
        <w:tc>
          <w:tcPr>
            <w:tcW w:type="dxa" w:w="1083"/>
            <w:vAlign w:val="center"/>
          </w:tcPr>
          <w:p>
            <w:r>
              <w:rPr>
                <w:sz w:val="16"/>
              </w:rPr>
              <w:t>0.008</w:t>
            </w:r>
          </w:p>
        </w:tc>
        <w:tc>
          <w:tcPr>
            <w:tcW w:type="dxa" w:w="1083"/>
            <w:vAlign w:val="center"/>
          </w:tcPr>
          <w:p>
            <w:r>
              <w:rPr>
                <w:sz w:val="16"/>
              </w:rPr>
              <w:t>-0.031 to 0.047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BA</w:t>
            </w:r>
          </w:p>
        </w:tc>
        <w:tc>
          <w:tcPr>
            <w:tcW w:type="dxa" w:w="1083"/>
            <w:vAlign w:val="center"/>
          </w:tcPr>
          <w:p>
            <w:r>
              <w:rPr>
                <w:sz w:val="16"/>
              </w:rPr>
              <w:t>0.540</w:t>
            </w:r>
          </w:p>
        </w:tc>
        <w:tc>
          <w:tcPr>
            <w:tcW w:type="dxa" w:w="1083"/>
            <w:vAlign w:val="center"/>
          </w:tcPr>
          <w:p>
            <w:r>
              <w:rPr>
                <w:sz w:val="16"/>
              </w:rPr>
              <w:t>0.588</w:t>
            </w:r>
          </w:p>
        </w:tc>
        <w:tc>
          <w:tcPr>
            <w:tcW w:type="dxa" w:w="1083"/>
            <w:vAlign w:val="center"/>
          </w:tcPr>
          <w:p>
            <w:r>
              <w:rPr>
                <w:sz w:val="16"/>
              </w:rPr>
              <w:t>0.048</w:t>
            </w:r>
          </w:p>
        </w:tc>
        <w:tc>
          <w:tcPr>
            <w:tcW w:type="dxa" w:w="1083"/>
            <w:vAlign w:val="center"/>
          </w:tcPr>
          <w:p>
            <w:r>
              <w:rPr>
                <w:sz w:val="16"/>
              </w:rPr>
              <w:t>0.004 to 0.090</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BA</w:t>
            </w:r>
          </w:p>
        </w:tc>
        <w:tc>
          <w:tcPr>
            <w:tcW w:type="dxa" w:w="1083"/>
            <w:vAlign w:val="center"/>
          </w:tcPr>
          <w:p>
            <w:r>
              <w:rPr>
                <w:sz w:val="16"/>
              </w:rPr>
              <w:t>0.528</w:t>
            </w:r>
          </w:p>
        </w:tc>
        <w:tc>
          <w:tcPr>
            <w:tcW w:type="dxa" w:w="1083"/>
            <w:vAlign w:val="center"/>
          </w:tcPr>
          <w:p>
            <w:r>
              <w:rPr>
                <w:sz w:val="16"/>
              </w:rPr>
              <w:t>0.522</w:t>
            </w:r>
          </w:p>
        </w:tc>
        <w:tc>
          <w:tcPr>
            <w:tcW w:type="dxa" w:w="1083"/>
            <w:vAlign w:val="center"/>
          </w:tcPr>
          <w:p>
            <w:r>
              <w:rPr>
                <w:sz w:val="16"/>
              </w:rPr>
              <w:t>-0.006</w:t>
            </w:r>
          </w:p>
        </w:tc>
        <w:tc>
          <w:tcPr>
            <w:tcW w:type="dxa" w:w="1083"/>
            <w:vAlign w:val="center"/>
          </w:tcPr>
          <w:p>
            <w:r>
              <w:rPr>
                <w:sz w:val="16"/>
              </w:rPr>
              <w:t>-0.050 to 0.039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BA</w:t>
            </w:r>
          </w:p>
        </w:tc>
        <w:tc>
          <w:tcPr>
            <w:tcW w:type="dxa" w:w="1083"/>
            <w:vAlign w:val="center"/>
          </w:tcPr>
          <w:p>
            <w:r>
              <w:rPr>
                <w:sz w:val="16"/>
              </w:rPr>
              <w:t>0.510</w:t>
            </w:r>
          </w:p>
        </w:tc>
        <w:tc>
          <w:tcPr>
            <w:tcW w:type="dxa" w:w="1083"/>
            <w:vAlign w:val="center"/>
          </w:tcPr>
          <w:p>
            <w:r>
              <w:rPr>
                <w:sz w:val="16"/>
              </w:rPr>
              <w:t>0.504</w:t>
            </w:r>
          </w:p>
        </w:tc>
        <w:tc>
          <w:tcPr>
            <w:tcW w:type="dxa" w:w="1083"/>
            <w:vAlign w:val="center"/>
          </w:tcPr>
          <w:p>
            <w:r>
              <w:rPr>
                <w:sz w:val="16"/>
              </w:rPr>
              <w:t>-0.005</w:t>
            </w:r>
          </w:p>
        </w:tc>
        <w:tc>
          <w:tcPr>
            <w:tcW w:type="dxa" w:w="1083"/>
            <w:vAlign w:val="center"/>
          </w:tcPr>
          <w:p>
            <w:r>
              <w:rPr>
                <w:sz w:val="16"/>
              </w:rPr>
              <w:t>-0.027 to 0.016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BA</w:t>
            </w:r>
          </w:p>
        </w:tc>
        <w:tc>
          <w:tcPr>
            <w:tcW w:type="dxa" w:w="1083"/>
            <w:vAlign w:val="center"/>
          </w:tcPr>
          <w:p>
            <w:r>
              <w:rPr>
                <w:sz w:val="16"/>
              </w:rPr>
              <w:t>0.501</w:t>
            </w:r>
          </w:p>
        </w:tc>
        <w:tc>
          <w:tcPr>
            <w:tcW w:type="dxa" w:w="1083"/>
            <w:vAlign w:val="center"/>
          </w:tcPr>
          <w:p>
            <w:r>
              <w:rPr>
                <w:sz w:val="16"/>
              </w:rPr>
              <w:t>0.530</w:t>
            </w:r>
          </w:p>
        </w:tc>
        <w:tc>
          <w:tcPr>
            <w:tcW w:type="dxa" w:w="1083"/>
            <w:vAlign w:val="center"/>
          </w:tcPr>
          <w:p>
            <w:r>
              <w:rPr>
                <w:sz w:val="16"/>
              </w:rPr>
              <w:t>0.028</w:t>
            </w:r>
          </w:p>
        </w:tc>
        <w:tc>
          <w:tcPr>
            <w:tcW w:type="dxa" w:w="1083"/>
            <w:vAlign w:val="center"/>
          </w:tcPr>
          <w:p>
            <w:r>
              <w:rPr>
                <w:sz w:val="16"/>
              </w:rPr>
              <w:t>-0.014 to 0.070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BA</w:t>
            </w:r>
          </w:p>
        </w:tc>
        <w:tc>
          <w:tcPr>
            <w:tcW w:type="dxa" w:w="1083"/>
            <w:vAlign w:val="center"/>
          </w:tcPr>
          <w:p>
            <w:r>
              <w:rPr>
                <w:sz w:val="16"/>
              </w:rPr>
              <w:t>0.461</w:t>
            </w:r>
          </w:p>
        </w:tc>
        <w:tc>
          <w:tcPr>
            <w:tcW w:type="dxa" w:w="1083"/>
            <w:vAlign w:val="center"/>
          </w:tcPr>
          <w:p>
            <w:r>
              <w:rPr>
                <w:sz w:val="16"/>
              </w:rPr>
              <w:t>0.486</w:t>
            </w:r>
          </w:p>
        </w:tc>
        <w:tc>
          <w:tcPr>
            <w:tcW w:type="dxa" w:w="1083"/>
            <w:vAlign w:val="center"/>
          </w:tcPr>
          <w:p>
            <w:r>
              <w:rPr>
                <w:sz w:val="16"/>
              </w:rPr>
              <w:t>0.025</w:t>
            </w:r>
          </w:p>
        </w:tc>
        <w:tc>
          <w:tcPr>
            <w:tcW w:type="dxa" w:w="1083"/>
            <w:vAlign w:val="center"/>
          </w:tcPr>
          <w:p>
            <w:r>
              <w:rPr>
                <w:sz w:val="16"/>
              </w:rPr>
              <w:t>-0.032 to 0.081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BA</w:t>
            </w:r>
          </w:p>
        </w:tc>
        <w:tc>
          <w:tcPr>
            <w:tcW w:type="dxa" w:w="1083"/>
            <w:vAlign w:val="center"/>
          </w:tcPr>
          <w:p>
            <w:r>
              <w:rPr>
                <w:sz w:val="16"/>
              </w:rPr>
              <w:t>0.457</w:t>
            </w:r>
          </w:p>
        </w:tc>
        <w:tc>
          <w:tcPr>
            <w:tcW w:type="dxa" w:w="1083"/>
            <w:vAlign w:val="center"/>
          </w:tcPr>
          <w:p>
            <w:r>
              <w:rPr>
                <w:sz w:val="16"/>
              </w:rPr>
              <w:t>0.481</w:t>
            </w:r>
          </w:p>
        </w:tc>
        <w:tc>
          <w:tcPr>
            <w:tcW w:type="dxa" w:w="1083"/>
            <w:vAlign w:val="center"/>
          </w:tcPr>
          <w:p>
            <w:r>
              <w:rPr>
                <w:sz w:val="16"/>
              </w:rPr>
              <w:t>0.024</w:t>
            </w:r>
          </w:p>
        </w:tc>
        <w:tc>
          <w:tcPr>
            <w:tcW w:type="dxa" w:w="1083"/>
            <w:vAlign w:val="center"/>
          </w:tcPr>
          <w:p>
            <w:r>
              <w:rPr>
                <w:sz w:val="16"/>
              </w:rPr>
              <w:t>-0.043 to 0.087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BA</w:t>
            </w:r>
          </w:p>
        </w:tc>
        <w:tc>
          <w:tcPr>
            <w:tcW w:type="dxa" w:w="1083"/>
            <w:vAlign w:val="center"/>
          </w:tcPr>
          <w:p>
            <w:r>
              <w:rPr>
                <w:sz w:val="16"/>
              </w:rPr>
              <w:t>0.475</w:t>
            </w:r>
          </w:p>
        </w:tc>
        <w:tc>
          <w:tcPr>
            <w:tcW w:type="dxa" w:w="1083"/>
            <w:vAlign w:val="center"/>
          </w:tcPr>
          <w:p>
            <w:r>
              <w:rPr>
                <w:sz w:val="16"/>
              </w:rPr>
              <w:t>0.516</w:t>
            </w:r>
          </w:p>
        </w:tc>
        <w:tc>
          <w:tcPr>
            <w:tcW w:type="dxa" w:w="1083"/>
            <w:vAlign w:val="center"/>
          </w:tcPr>
          <w:p>
            <w:r>
              <w:rPr>
                <w:sz w:val="16"/>
              </w:rPr>
              <w:t>0.041</w:t>
            </w:r>
          </w:p>
        </w:tc>
        <w:tc>
          <w:tcPr>
            <w:tcW w:type="dxa" w:w="1083"/>
            <w:vAlign w:val="center"/>
          </w:tcPr>
          <w:p>
            <w:r>
              <w:rPr>
                <w:sz w:val="16"/>
              </w:rPr>
              <w:t>-0.010 to 0.092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BA</w:t>
            </w:r>
          </w:p>
        </w:tc>
        <w:tc>
          <w:tcPr>
            <w:tcW w:type="dxa" w:w="1083"/>
            <w:vAlign w:val="center"/>
          </w:tcPr>
          <w:p>
            <w:r>
              <w:rPr>
                <w:sz w:val="16"/>
              </w:rPr>
              <w:t>0.428</w:t>
            </w:r>
          </w:p>
        </w:tc>
        <w:tc>
          <w:tcPr>
            <w:tcW w:type="dxa" w:w="1083"/>
            <w:vAlign w:val="center"/>
          </w:tcPr>
          <w:p>
            <w:r>
              <w:rPr>
                <w:sz w:val="16"/>
              </w:rPr>
              <w:t>0.445</w:t>
            </w:r>
          </w:p>
        </w:tc>
        <w:tc>
          <w:tcPr>
            <w:tcW w:type="dxa" w:w="1083"/>
            <w:vAlign w:val="center"/>
          </w:tcPr>
          <w:p>
            <w:r>
              <w:rPr>
                <w:sz w:val="16"/>
              </w:rPr>
              <w:t>0.017</w:t>
            </w:r>
          </w:p>
        </w:tc>
        <w:tc>
          <w:tcPr>
            <w:tcW w:type="dxa" w:w="1083"/>
            <w:vAlign w:val="center"/>
          </w:tcPr>
          <w:p>
            <w:r>
              <w:rPr>
                <w:sz w:val="16"/>
              </w:rPr>
              <w:t>-0.028 to 0.063</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Spearman</w:t>
            </w:r>
          </w:p>
        </w:tc>
        <w:tc>
          <w:tcPr>
            <w:tcW w:type="dxa" w:w="1083"/>
            <w:vAlign w:val="center"/>
          </w:tcPr>
          <w:p>
            <w:r>
              <w:rPr>
                <w:sz w:val="16"/>
              </w:rPr>
              <w:t>0.598</w:t>
            </w:r>
          </w:p>
        </w:tc>
        <w:tc>
          <w:tcPr>
            <w:tcW w:type="dxa" w:w="1083"/>
            <w:vAlign w:val="center"/>
          </w:tcPr>
          <w:p>
            <w:r>
              <w:rPr>
                <w:sz w:val="16"/>
              </w:rPr>
              <w:t>0.606</w:t>
            </w:r>
          </w:p>
        </w:tc>
        <w:tc>
          <w:tcPr>
            <w:tcW w:type="dxa" w:w="1083"/>
            <w:vAlign w:val="center"/>
          </w:tcPr>
          <w:p>
            <w:r>
              <w:rPr>
                <w:sz w:val="16"/>
              </w:rPr>
              <w:t>0.008</w:t>
            </w:r>
          </w:p>
        </w:tc>
        <w:tc>
          <w:tcPr>
            <w:tcW w:type="dxa" w:w="1083"/>
            <w:vAlign w:val="center"/>
          </w:tcPr>
          <w:p>
            <w:r>
              <w:rPr>
                <w:sz w:val="16"/>
              </w:rPr>
              <w:t>-0.008 to 0.023</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Spearman</w:t>
            </w:r>
          </w:p>
        </w:tc>
        <w:tc>
          <w:tcPr>
            <w:tcW w:type="dxa" w:w="1083"/>
            <w:vAlign w:val="center"/>
          </w:tcPr>
          <w:p>
            <w:r>
              <w:rPr>
                <w:sz w:val="16"/>
              </w:rPr>
              <w:t>0.486</w:t>
            </w:r>
          </w:p>
        </w:tc>
        <w:tc>
          <w:tcPr>
            <w:tcW w:type="dxa" w:w="1083"/>
            <w:vAlign w:val="center"/>
          </w:tcPr>
          <w:p>
            <w:r>
              <w:rPr>
                <w:sz w:val="16"/>
              </w:rPr>
              <w:t>0.512</w:t>
            </w:r>
          </w:p>
        </w:tc>
        <w:tc>
          <w:tcPr>
            <w:tcW w:type="dxa" w:w="1083"/>
            <w:vAlign w:val="center"/>
          </w:tcPr>
          <w:p>
            <w:r>
              <w:rPr>
                <w:sz w:val="16"/>
              </w:rPr>
              <w:t>0.026</w:t>
            </w:r>
          </w:p>
        </w:tc>
        <w:tc>
          <w:tcPr>
            <w:tcW w:type="dxa" w:w="1083"/>
            <w:vAlign w:val="center"/>
          </w:tcPr>
          <w:p>
            <w:r>
              <w:rPr>
                <w:sz w:val="16"/>
              </w:rPr>
              <w:t>0.011 to 0.042</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Spearman</w:t>
            </w:r>
          </w:p>
        </w:tc>
        <w:tc>
          <w:tcPr>
            <w:tcW w:type="dxa" w:w="1083"/>
            <w:vAlign w:val="center"/>
          </w:tcPr>
          <w:p>
            <w:r>
              <w:rPr>
                <w:sz w:val="16"/>
              </w:rPr>
              <w:t>0.488</w:t>
            </w:r>
          </w:p>
        </w:tc>
        <w:tc>
          <w:tcPr>
            <w:tcW w:type="dxa" w:w="1083"/>
            <w:vAlign w:val="center"/>
          </w:tcPr>
          <w:p>
            <w:r>
              <w:rPr>
                <w:sz w:val="16"/>
              </w:rPr>
              <w:t>0.485</w:t>
            </w:r>
          </w:p>
        </w:tc>
        <w:tc>
          <w:tcPr>
            <w:tcW w:type="dxa" w:w="1083"/>
            <w:vAlign w:val="center"/>
          </w:tcPr>
          <w:p>
            <w:r>
              <w:rPr>
                <w:sz w:val="16"/>
              </w:rPr>
              <w:t>-0.003</w:t>
            </w:r>
          </w:p>
        </w:tc>
        <w:tc>
          <w:tcPr>
            <w:tcW w:type="dxa" w:w="1083"/>
            <w:vAlign w:val="center"/>
          </w:tcPr>
          <w:p>
            <w:r>
              <w:rPr>
                <w:sz w:val="16"/>
              </w:rPr>
              <w:t>-0.017 to 0.013</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Spearman</w:t>
            </w:r>
          </w:p>
        </w:tc>
        <w:tc>
          <w:tcPr>
            <w:tcW w:type="dxa" w:w="1083"/>
            <w:vAlign w:val="center"/>
          </w:tcPr>
          <w:p>
            <w:r>
              <w:rPr>
                <w:sz w:val="16"/>
              </w:rPr>
              <w:t>0.300</w:t>
            </w:r>
          </w:p>
        </w:tc>
        <w:tc>
          <w:tcPr>
            <w:tcW w:type="dxa" w:w="1083"/>
            <w:vAlign w:val="center"/>
          </w:tcPr>
          <w:p>
            <w:r>
              <w:rPr>
                <w:sz w:val="16"/>
              </w:rPr>
              <w:t>0.320</w:t>
            </w:r>
          </w:p>
        </w:tc>
        <w:tc>
          <w:tcPr>
            <w:tcW w:type="dxa" w:w="1083"/>
            <w:vAlign w:val="center"/>
          </w:tcPr>
          <w:p>
            <w:r>
              <w:rPr>
                <w:sz w:val="16"/>
              </w:rPr>
              <w:t>0.020</w:t>
            </w:r>
          </w:p>
        </w:tc>
        <w:tc>
          <w:tcPr>
            <w:tcW w:type="dxa" w:w="1083"/>
            <w:vAlign w:val="center"/>
          </w:tcPr>
          <w:p>
            <w:r>
              <w:rPr>
                <w:sz w:val="16"/>
              </w:rPr>
              <w:t>0.002 to 0.038</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Spearman</w:t>
            </w:r>
          </w:p>
        </w:tc>
        <w:tc>
          <w:tcPr>
            <w:tcW w:type="dxa" w:w="1083"/>
            <w:vAlign w:val="center"/>
          </w:tcPr>
          <w:p>
            <w:r>
              <w:rPr>
                <w:sz w:val="16"/>
              </w:rPr>
              <w:t>0.500</w:t>
            </w:r>
          </w:p>
        </w:tc>
        <w:tc>
          <w:tcPr>
            <w:tcW w:type="dxa" w:w="1083"/>
            <w:vAlign w:val="center"/>
          </w:tcPr>
          <w:p>
            <w:r>
              <w:rPr>
                <w:sz w:val="16"/>
              </w:rPr>
              <w:t>0.518</w:t>
            </w:r>
          </w:p>
        </w:tc>
        <w:tc>
          <w:tcPr>
            <w:tcW w:type="dxa" w:w="1083"/>
            <w:vAlign w:val="center"/>
          </w:tcPr>
          <w:p>
            <w:r>
              <w:rPr>
                <w:sz w:val="16"/>
              </w:rPr>
              <w:t>0.019</w:t>
            </w:r>
          </w:p>
        </w:tc>
        <w:tc>
          <w:tcPr>
            <w:tcW w:type="dxa" w:w="1083"/>
            <w:vAlign w:val="center"/>
          </w:tcPr>
          <w:p>
            <w:r>
              <w:rPr>
                <w:sz w:val="16"/>
              </w:rPr>
              <w:t>0.000 to 0.036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Spearman</w:t>
            </w:r>
          </w:p>
        </w:tc>
        <w:tc>
          <w:tcPr>
            <w:tcW w:type="dxa" w:w="1083"/>
            <w:vAlign w:val="center"/>
          </w:tcPr>
          <w:p>
            <w:r>
              <w:rPr>
                <w:sz w:val="16"/>
              </w:rPr>
              <w:t>0.234</w:t>
            </w:r>
          </w:p>
        </w:tc>
        <w:tc>
          <w:tcPr>
            <w:tcW w:type="dxa" w:w="1083"/>
            <w:vAlign w:val="center"/>
          </w:tcPr>
          <w:p>
            <w:r>
              <w:rPr>
                <w:sz w:val="16"/>
              </w:rPr>
              <w:t>0.277</w:t>
            </w:r>
          </w:p>
        </w:tc>
        <w:tc>
          <w:tcPr>
            <w:tcW w:type="dxa" w:w="1083"/>
            <w:vAlign w:val="center"/>
          </w:tcPr>
          <w:p>
            <w:r>
              <w:rPr>
                <w:sz w:val="16"/>
              </w:rPr>
              <w:t>0.043</w:t>
            </w:r>
          </w:p>
        </w:tc>
        <w:tc>
          <w:tcPr>
            <w:tcW w:type="dxa" w:w="1083"/>
            <w:vAlign w:val="center"/>
          </w:tcPr>
          <w:p>
            <w:r>
              <w:rPr>
                <w:sz w:val="16"/>
              </w:rPr>
              <w:t>-0.013 to 0.100</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Spearman</w:t>
            </w:r>
          </w:p>
        </w:tc>
        <w:tc>
          <w:tcPr>
            <w:tcW w:type="dxa" w:w="1083"/>
            <w:vAlign w:val="center"/>
          </w:tcPr>
          <w:p>
            <w:r>
              <w:rPr>
                <w:sz w:val="16"/>
              </w:rPr>
              <w:t>0.206</w:t>
            </w:r>
          </w:p>
        </w:tc>
        <w:tc>
          <w:tcPr>
            <w:tcW w:type="dxa" w:w="1083"/>
            <w:vAlign w:val="center"/>
          </w:tcPr>
          <w:p>
            <w:r>
              <w:rPr>
                <w:sz w:val="16"/>
              </w:rPr>
              <w:t>0.049</w:t>
            </w:r>
          </w:p>
        </w:tc>
        <w:tc>
          <w:tcPr>
            <w:tcW w:type="dxa" w:w="1083"/>
            <w:vAlign w:val="center"/>
          </w:tcPr>
          <w:p>
            <w:r>
              <w:rPr>
                <w:sz w:val="16"/>
              </w:rPr>
              <w:t>-0.157</w:t>
            </w:r>
          </w:p>
        </w:tc>
        <w:tc>
          <w:tcPr>
            <w:tcW w:type="dxa" w:w="1083"/>
            <w:vAlign w:val="center"/>
          </w:tcPr>
          <w:p>
            <w:r>
              <w:rPr>
                <w:sz w:val="16"/>
              </w:rPr>
              <w:t>-0.227 to -0.083</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Spearman</w:t>
            </w:r>
          </w:p>
        </w:tc>
        <w:tc>
          <w:tcPr>
            <w:tcW w:type="dxa" w:w="1083"/>
            <w:vAlign w:val="center"/>
          </w:tcPr>
          <w:p>
            <w:r>
              <w:rPr>
                <w:sz w:val="16"/>
              </w:rPr>
              <w:t>0.039</w:t>
            </w:r>
          </w:p>
        </w:tc>
        <w:tc>
          <w:tcPr>
            <w:tcW w:type="dxa" w:w="1083"/>
            <w:vAlign w:val="center"/>
          </w:tcPr>
          <w:p>
            <w:r>
              <w:rPr>
                <w:sz w:val="16"/>
              </w:rPr>
              <w:t>0.023</w:t>
            </w:r>
          </w:p>
        </w:tc>
        <w:tc>
          <w:tcPr>
            <w:tcW w:type="dxa" w:w="1083"/>
            <w:vAlign w:val="center"/>
          </w:tcPr>
          <w:p>
            <w:r>
              <w:rPr>
                <w:sz w:val="16"/>
              </w:rPr>
              <w:t>-0.016</w:t>
            </w:r>
          </w:p>
        </w:tc>
        <w:tc>
          <w:tcPr>
            <w:tcW w:type="dxa" w:w="1083"/>
            <w:vAlign w:val="center"/>
          </w:tcPr>
          <w:p>
            <w:r>
              <w:rPr>
                <w:sz w:val="16"/>
              </w:rPr>
              <w:t>-0.049 to 0.017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Spearman</w:t>
            </w:r>
          </w:p>
        </w:tc>
        <w:tc>
          <w:tcPr>
            <w:tcW w:type="dxa" w:w="1083"/>
            <w:vAlign w:val="center"/>
          </w:tcPr>
          <w:p>
            <w:r>
              <w:rPr>
                <w:sz w:val="16"/>
              </w:rPr>
              <w:t>0.159</w:t>
            </w:r>
          </w:p>
        </w:tc>
        <w:tc>
          <w:tcPr>
            <w:tcW w:type="dxa" w:w="1083"/>
            <w:vAlign w:val="center"/>
          </w:tcPr>
          <w:p>
            <w:r>
              <w:rPr>
                <w:sz w:val="16"/>
              </w:rPr>
              <w:t>0.100</w:t>
            </w:r>
          </w:p>
        </w:tc>
        <w:tc>
          <w:tcPr>
            <w:tcW w:type="dxa" w:w="1083"/>
            <w:vAlign w:val="center"/>
          </w:tcPr>
          <w:p>
            <w:r>
              <w:rPr>
                <w:sz w:val="16"/>
              </w:rPr>
              <w:t>-0.059</w:t>
            </w:r>
          </w:p>
        </w:tc>
        <w:tc>
          <w:tcPr>
            <w:tcW w:type="dxa" w:w="1083"/>
            <w:vAlign w:val="center"/>
          </w:tcPr>
          <w:p>
            <w:r>
              <w:rPr>
                <w:sz w:val="16"/>
              </w:rPr>
              <w:t>-0.129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Spearman</w:t>
            </w:r>
          </w:p>
        </w:tc>
        <w:tc>
          <w:tcPr>
            <w:tcW w:type="dxa" w:w="1083"/>
            <w:vAlign w:val="center"/>
          </w:tcPr>
          <w:p>
            <w:r>
              <w:rPr>
                <w:sz w:val="16"/>
              </w:rPr>
              <w:t>0.050</w:t>
            </w:r>
          </w:p>
        </w:tc>
        <w:tc>
          <w:tcPr>
            <w:tcW w:type="dxa" w:w="1083"/>
            <w:vAlign w:val="center"/>
          </w:tcPr>
          <w:p>
            <w:r>
              <w:rPr>
                <w:sz w:val="16"/>
              </w:rPr>
              <w:t>-0.152</w:t>
            </w:r>
          </w:p>
        </w:tc>
        <w:tc>
          <w:tcPr>
            <w:tcW w:type="dxa" w:w="1083"/>
            <w:vAlign w:val="center"/>
          </w:tcPr>
          <w:p>
            <w:r>
              <w:rPr>
                <w:sz w:val="16"/>
              </w:rPr>
              <w:t>-0.202</w:t>
            </w:r>
          </w:p>
        </w:tc>
        <w:tc>
          <w:tcPr>
            <w:tcW w:type="dxa" w:w="1083"/>
            <w:vAlign w:val="center"/>
          </w:tcPr>
          <w:p>
            <w:r>
              <w:rPr>
                <w:sz w:val="16"/>
              </w:rPr>
              <w:t>-0.348 to -0.056</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Spearman</w:t>
            </w:r>
          </w:p>
        </w:tc>
        <w:tc>
          <w:tcPr>
            <w:tcW w:type="dxa" w:w="1083"/>
            <w:vAlign w:val="center"/>
          </w:tcPr>
          <w:p>
            <w:r>
              <w:rPr>
                <w:sz w:val="16"/>
              </w:rPr>
              <w:t>-0.033</w:t>
            </w:r>
          </w:p>
        </w:tc>
        <w:tc>
          <w:tcPr>
            <w:tcW w:type="dxa" w:w="1083"/>
            <w:vAlign w:val="center"/>
          </w:tcPr>
          <w:p>
            <w:r>
              <w:rPr>
                <w:sz w:val="16"/>
              </w:rPr>
              <w:t>-0.127</w:t>
            </w:r>
          </w:p>
        </w:tc>
        <w:tc>
          <w:tcPr>
            <w:tcW w:type="dxa" w:w="1083"/>
            <w:vAlign w:val="center"/>
          </w:tcPr>
          <w:p>
            <w:r>
              <w:rPr>
                <w:sz w:val="16"/>
              </w:rPr>
              <w:t>-0.094</w:t>
            </w:r>
          </w:p>
        </w:tc>
        <w:tc>
          <w:tcPr>
            <w:tcW w:type="dxa" w:w="1083"/>
            <w:vAlign w:val="center"/>
          </w:tcPr>
          <w:p>
            <w:r>
              <w:rPr>
                <w:sz w:val="16"/>
              </w:rPr>
              <w:t>-0.205 to 0.017</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Spearman</w:t>
            </w:r>
          </w:p>
        </w:tc>
        <w:tc>
          <w:tcPr>
            <w:tcW w:type="dxa" w:w="1083"/>
            <w:vAlign w:val="center"/>
          </w:tcPr>
          <w:p>
            <w:r>
              <w:rPr>
                <w:sz w:val="16"/>
              </w:rPr>
              <w:t>-0.075</w:t>
            </w:r>
          </w:p>
        </w:tc>
        <w:tc>
          <w:tcPr>
            <w:tcW w:type="dxa" w:w="1083"/>
            <w:vAlign w:val="center"/>
          </w:tcPr>
          <w:p>
            <w:r>
              <w:rPr>
                <w:sz w:val="16"/>
              </w:rPr>
              <w:t>-0.209</w:t>
            </w:r>
          </w:p>
        </w:tc>
        <w:tc>
          <w:tcPr>
            <w:tcW w:type="dxa" w:w="1083"/>
            <w:vAlign w:val="center"/>
          </w:tcPr>
          <w:p>
            <w:r>
              <w:rPr>
                <w:sz w:val="16"/>
              </w:rPr>
              <w:t>-0.133</w:t>
            </w:r>
          </w:p>
        </w:tc>
        <w:tc>
          <w:tcPr>
            <w:tcW w:type="dxa" w:w="1083"/>
            <w:vAlign w:val="center"/>
          </w:tcPr>
          <w:p>
            <w:r>
              <w:rPr>
                <w:sz w:val="16"/>
              </w:rPr>
              <w:t>-0.394 to 0.110</w:t>
            </w:r>
          </w:p>
        </w:tc>
        <w:tc>
          <w:tcPr>
            <w:tcW w:type="dxa" w:w="1083"/>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Screening-threshold 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derived immune-feature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Methods; Results - subgroup audit; Discussion - Limitations</w:t>
            </w:r>
          </w:p>
        </w:tc>
        <w:tc>
          <w:tcPr>
            <w:tcW w:type="dxa" w:w="2353"/>
            <w:vAlign w:val="center"/>
          </w:tcPr>
          <w:p>
            <w:r>
              <w:rPr>
                <w:sz w:val="16"/>
              </w:rPr>
              <w:t>Post hoc denominator-first sex and broad race audit of fixed held-out predictions; no fairness intervention or equivalence claim</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 recorded gender, race and stage plus analytic and molecular missingness are reported; exact subgroup counts, performance metrics and non-estimability reasons are supplied in Supplementary Table S2b and subgroup_performance_audit.csv</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sectPr>
          <w:pgSz w:w="11906" w:h="16838"/>
          <w:pgMar w:top="1134" w:right="1247" w:bottom="1134" w:left="1247" w:header="720" w:footer="720" w:gutter="0"/>
          <w:cols w:space="720"/>
          <w:docGrid w:linePitch="360"/>
          <w:lnNumType w:countBy="1" w:restart="continuous"/>
          <w:lnNumType w:countBy="1" w:restart="continuous"/>
          <w:lnNumType w:countBy="1" w:restart="continuous"/>
        </w:sectPr>
      </w:pPr>
    </w:p>
    <w:p>
      <w:pPr>
        <w:pStyle w:val="Heading1"/>
      </w:pPr>
      <w:r>
        <w:t>Table S13. Endpoint provenance, derivation and assay equivalence</w:t>
      </w:r>
    </w:p>
    <w:p>
      <w:pPr>
        <w:pStyle w:val="Caption"/>
      </w:pPr>
      <w:r>
        <w:t>Panel A. High-level label-generation classes. 'Definitions' counts unique outcome type–family–endpoint combinations; tests are cancer-specific. The full 2,073-row target-level dictionary is the authoritative table and reports all requested fields for every target.</w:t>
      </w:r>
    </w:p>
    <w:tbl>
      <w:tblPr>
        <w:tblStyle w:val="TableGrid"/>
        <w:tblW w:type="auto" w:w="0"/>
        <w:jc w:val="center"/>
        <w:tblLook w:firstColumn="1" w:firstRow="1" w:lastColumn="0" w:lastRow="0" w:noHBand="0" w:noVBand="1" w:val="04A0"/>
      </w:tblPr>
      <w:tblGrid>
        <w:gridCol w:w="3784"/>
        <w:gridCol w:w="3784"/>
        <w:gridCol w:w="3784"/>
        <w:gridCol w:w="3784"/>
      </w:tblGrid>
      <w:tr>
        <w:trPr>
          <w:tblHeader w:val="true"/>
          <w:cantSplit/>
        </w:trPr>
        <w:tc>
          <w:tcPr>
            <w:tcW w:type="dxa" w:w="4535"/>
          </w:tcPr>
          <w:p>
            <w:r>
              <w:rPr>
                <w:b/>
                <w:sz w:val="17"/>
              </w:rPr>
              <w:t>Measurement class</w:t>
            </w:r>
          </w:p>
        </w:tc>
        <w:tc>
          <w:tcPr>
            <w:tcW w:type="dxa" w:w="2268"/>
          </w:tcPr>
          <w:p>
            <w:r>
              <w:rPr>
                <w:b/>
                <w:sz w:val="17"/>
              </w:rPr>
              <w:t>Cancer–endpoint tests</w:t>
            </w:r>
          </w:p>
        </w:tc>
        <w:tc>
          <w:tcPr>
            <w:tcW w:type="dxa" w:w="2268"/>
          </w:tcPr>
          <w:p>
            <w:r>
              <w:rPr>
                <w:b/>
                <w:sz w:val="17"/>
              </w:rPr>
              <w:t>Unique definitions</w:t>
            </w:r>
          </w:p>
        </w:tc>
        <w:tc>
          <w:tcPr>
            <w:tcW w:type="dxa" w:w="2551"/>
          </w:tcPr>
          <w:p>
            <w:r>
              <w:rPr>
                <w:b/>
                <w:sz w:val="17"/>
              </w:rPr>
              <w:t>Same-H&amp;E-modality tests</w:t>
            </w:r>
          </w:p>
        </w:tc>
      </w:tr>
      <w:tr>
        <w:trPr>
          <w:cantSplit/>
        </w:trPr>
        <w:tc>
          <w:tcPr>
            <w:tcW w:type="dxa" w:w="4535"/>
            <w:vAlign w:val="center"/>
          </w:tcPr>
          <w:p>
            <w:r>
              <w:rPr>
                <w:sz w:val="16"/>
              </w:rPr>
              <w:t>directly observed genomic alteration</w:t>
            </w:r>
          </w:p>
        </w:tc>
        <w:tc>
          <w:tcPr>
            <w:tcW w:type="dxa" w:w="2268"/>
            <w:vAlign w:val="center"/>
          </w:tcPr>
          <w:p>
            <w:r>
              <w:rPr>
                <w:sz w:val="16"/>
              </w:rPr>
              <w:t>265</w:t>
            </w:r>
          </w:p>
        </w:tc>
        <w:tc>
          <w:tcPr>
            <w:tcW w:type="dxa" w:w="2268"/>
            <w:vAlign w:val="center"/>
          </w:tcPr>
          <w:p>
            <w:r>
              <w:rPr>
                <w:sz w:val="16"/>
              </w:rPr>
              <w:t>125</w:t>
            </w:r>
          </w:p>
        </w:tc>
        <w:tc>
          <w:tcPr>
            <w:tcW w:type="dxa" w:w="2551"/>
            <w:vAlign w:val="center"/>
          </w:tcPr>
          <w:p>
            <w:r>
              <w:rPr>
                <w:sz w:val="16"/>
              </w:rPr>
              <w:t>0</w:t>
            </w:r>
          </w:p>
        </w:tc>
      </w:tr>
      <w:tr>
        <w:trPr>
          <w:cantSplit/>
        </w:trPr>
        <w:tc>
          <w:tcPr>
            <w:tcW w:type="dxa" w:w="4535"/>
            <w:vAlign w:val="center"/>
          </w:tcPr>
          <w:p>
            <w:r>
              <w:rPr>
                <w:sz w:val="16"/>
              </w:rPr>
              <w:t>sequencing-derived continuous burden</w:t>
            </w:r>
          </w:p>
        </w:tc>
        <w:tc>
          <w:tcPr>
            <w:tcW w:type="dxa" w:w="2268"/>
            <w:vAlign w:val="center"/>
          </w:tcPr>
          <w:p>
            <w:r>
              <w:rPr>
                <w:sz w:val="16"/>
              </w:rPr>
              <w:t>439</w:t>
            </w:r>
          </w:p>
        </w:tc>
        <w:tc>
          <w:tcPr>
            <w:tcW w:type="dxa" w:w="2268"/>
            <w:vAlign w:val="center"/>
          </w:tcPr>
          <w:p>
            <w:r>
              <w:rPr>
                <w:sz w:val="16"/>
              </w:rPr>
              <w:t>16</w:t>
            </w:r>
          </w:p>
        </w:tc>
        <w:tc>
          <w:tcPr>
            <w:tcW w:type="dxa" w:w="2551"/>
            <w:vAlign w:val="center"/>
          </w:tcPr>
          <w:p>
            <w:r>
              <w:rPr>
                <w:sz w:val="16"/>
              </w:rPr>
              <w:t>0</w:t>
            </w:r>
          </w:p>
        </w:tc>
      </w:tr>
      <w:tr>
        <w:trPr>
          <w:cantSplit/>
        </w:trPr>
        <w:tc>
          <w:tcPr>
            <w:tcW w:type="dxa" w:w="4535"/>
            <w:vAlign w:val="center"/>
          </w:tcPr>
          <w:p>
            <w:r>
              <w:rPr>
                <w:sz w:val="16"/>
              </w:rPr>
              <w:t>computationally inferred immune-cell fraction</w:t>
            </w:r>
          </w:p>
        </w:tc>
        <w:tc>
          <w:tcPr>
            <w:tcW w:type="dxa" w:w="2268"/>
            <w:vAlign w:val="center"/>
          </w:tcPr>
          <w:p>
            <w:r>
              <w:rPr>
                <w:sz w:val="16"/>
              </w:rPr>
              <w:t>685</w:t>
            </w:r>
          </w:p>
        </w:tc>
        <w:tc>
          <w:tcPr>
            <w:tcW w:type="dxa" w:w="2268"/>
            <w:vAlign w:val="center"/>
          </w:tcPr>
          <w:p>
            <w:r>
              <w:rPr>
                <w:sz w:val="16"/>
              </w:rPr>
              <w:t>23</w:t>
            </w:r>
          </w:p>
        </w:tc>
        <w:tc>
          <w:tcPr>
            <w:tcW w:type="dxa" w:w="2551"/>
            <w:vAlign w:val="center"/>
          </w:tcPr>
          <w:p>
            <w:r>
              <w:rPr>
                <w:sz w:val="16"/>
              </w:rPr>
              <w:t>0</w:t>
            </w:r>
          </w:p>
        </w:tc>
      </w:tr>
      <w:tr>
        <w:trPr>
          <w:cantSplit/>
        </w:trPr>
        <w:tc>
          <w:tcPr>
            <w:tcW w:type="dxa" w:w="4535"/>
            <w:vAlign w:val="center"/>
          </w:tcPr>
          <w:p>
            <w:r>
              <w:rPr>
                <w:sz w:val="16"/>
              </w:rPr>
              <w:t>transcriptomic signature</w:t>
            </w:r>
          </w:p>
        </w:tc>
        <w:tc>
          <w:tcPr>
            <w:tcW w:type="dxa" w:w="2268"/>
            <w:vAlign w:val="center"/>
          </w:tcPr>
          <w:p>
            <w:r>
              <w:rPr>
                <w:sz w:val="16"/>
              </w:rPr>
              <w:t>299</w:t>
            </w:r>
          </w:p>
        </w:tc>
        <w:tc>
          <w:tcPr>
            <w:tcW w:type="dxa" w:w="2268"/>
            <w:vAlign w:val="center"/>
          </w:tcPr>
          <w:p>
            <w:r>
              <w:rPr>
                <w:sz w:val="16"/>
              </w:rPr>
              <w:t>10</w:t>
            </w:r>
          </w:p>
        </w:tc>
        <w:tc>
          <w:tcPr>
            <w:tcW w:type="dxa" w:w="2551"/>
            <w:vAlign w:val="center"/>
          </w:tcPr>
          <w:p>
            <w:r>
              <w:rPr>
                <w:sz w:val="16"/>
              </w:rPr>
              <w:t>0</w:t>
            </w:r>
          </w:p>
        </w:tc>
      </w:tr>
      <w:tr>
        <w:trPr>
          <w:cantSplit/>
        </w:trPr>
        <w:tc>
          <w:tcPr>
            <w:tcW w:type="dxa" w:w="4535"/>
            <w:vAlign w:val="center"/>
          </w:tcPr>
          <w:p>
            <w:r>
              <w:rPr>
                <w:sz w:val="16"/>
              </w:rPr>
              <w:t>pathology-associated quantity</w:t>
            </w:r>
          </w:p>
        </w:tc>
        <w:tc>
          <w:tcPr>
            <w:tcW w:type="dxa" w:w="2268"/>
            <w:vAlign w:val="center"/>
          </w:tcPr>
          <w:p>
            <w:r>
              <w:rPr>
                <w:sz w:val="16"/>
              </w:rPr>
              <w:t>13</w:t>
            </w:r>
          </w:p>
        </w:tc>
        <w:tc>
          <w:tcPr>
            <w:tcW w:type="dxa" w:w="2268"/>
            <w:vAlign w:val="center"/>
          </w:tcPr>
          <w:p>
            <w:r>
              <w:rPr>
                <w:sz w:val="16"/>
              </w:rPr>
              <w:t>1</w:t>
            </w:r>
          </w:p>
        </w:tc>
        <w:tc>
          <w:tcPr>
            <w:tcW w:type="dxa" w:w="2551"/>
            <w:vAlign w:val="center"/>
          </w:tcPr>
          <w:p>
            <w:r>
              <w:rPr>
                <w:sz w:val="16"/>
              </w:rPr>
              <w:t>13</w:t>
            </w:r>
          </w:p>
        </w:tc>
      </w:tr>
      <w:tr>
        <w:trPr>
          <w:cantSplit/>
        </w:trPr>
        <w:tc>
          <w:tcPr>
            <w:tcW w:type="dxa" w:w="4535"/>
            <w:vAlign w:val="center"/>
          </w:tcPr>
          <w:p>
            <w:r>
              <w:rPr>
                <w:sz w:val="16"/>
              </w:rPr>
              <w:t>composite genomic-context score</w:t>
            </w:r>
          </w:p>
        </w:tc>
        <w:tc>
          <w:tcPr>
            <w:tcW w:type="dxa" w:w="2268"/>
            <w:vAlign w:val="center"/>
          </w:tcPr>
          <w:p>
            <w:r>
              <w:rPr>
                <w:sz w:val="16"/>
              </w:rPr>
              <w:t>372</w:t>
            </w:r>
          </w:p>
        </w:tc>
        <w:tc>
          <w:tcPr>
            <w:tcW w:type="dxa" w:w="2268"/>
            <w:vAlign w:val="center"/>
          </w:tcPr>
          <w:p>
            <w:r>
              <w:rPr>
                <w:sz w:val="16"/>
              </w:rPr>
              <w:t>19</w:t>
            </w:r>
          </w:p>
        </w:tc>
        <w:tc>
          <w:tcPr>
            <w:tcW w:type="dxa" w:w="2551"/>
            <w:vAlign w:val="center"/>
          </w:tcPr>
          <w:p>
            <w:r>
              <w:rPr>
                <w:sz w:val="16"/>
              </w:rPr>
              <w:t>0</w:t>
            </w:r>
          </w:p>
        </w:tc>
      </w:tr>
    </w:tbl>
    <w:p/>
    <w:p>
      <w:pPr>
        <w:pStyle w:val="Caption"/>
      </w:pPr>
      <w:r>
        <w:t>Panel B. Compact derivation-group view. Expected measurement error, biological interpretation, transformation, missingness and source reference remain target-specific in endpoint_dictionary.csv and endpoint_definition_dictionary.csv.</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2268"/>
          </w:tcPr>
          <w:p>
            <w:r>
              <w:rPr>
                <w:b/>
                <w:sz w:val="17"/>
              </w:rPr>
              <w:t>Definition group</w:t>
            </w:r>
          </w:p>
        </w:tc>
        <w:tc>
          <w:tcPr>
            <w:tcW w:type="dxa" w:w="2381"/>
          </w:tcPr>
          <w:p>
            <w:r>
              <w:rPr>
                <w:b/>
                <w:sz w:val="17"/>
              </w:rPr>
              <w:t>Measurement class</w:t>
            </w:r>
          </w:p>
        </w:tc>
        <w:tc>
          <w:tcPr>
            <w:tcW w:type="dxa" w:w="1247"/>
          </w:tcPr>
          <w:p>
            <w:r>
              <w:rPr>
                <w:b/>
                <w:sz w:val="17"/>
              </w:rPr>
              <w:t>Tests/definitions</w:t>
            </w:r>
          </w:p>
        </w:tc>
        <w:tc>
          <w:tcPr>
            <w:tcW w:type="dxa" w:w="2835"/>
          </w:tcPr>
          <w:p>
            <w:r>
              <w:rPr>
                <w:b/>
                <w:sz w:val="17"/>
              </w:rPr>
              <w:t>Source modality</w:t>
            </w:r>
          </w:p>
        </w:tc>
        <w:tc>
          <w:tcPr>
            <w:tcW w:type="dxa" w:w="2608"/>
          </w:tcPr>
          <w:p>
            <w:r>
              <w:rPr>
                <w:b/>
                <w:sz w:val="17"/>
              </w:rPr>
              <w:t>Direct/inferred</w:t>
            </w:r>
          </w:p>
        </w:tc>
        <w:tc>
          <w:tcPr>
            <w:tcW w:type="dxa" w:w="4649"/>
          </w:tcPr>
          <w:p>
            <w:r>
              <w:rPr>
                <w:b/>
                <w:sz w:val="17"/>
              </w:rPr>
              <w:t>Derivation and source scale</w:t>
            </w:r>
          </w:p>
        </w:tc>
        <w:tc>
          <w:tcPr>
            <w:tcW w:type="dxa" w:w="3402"/>
          </w:tcPr>
          <w:p>
            <w:r>
              <w:rPr>
                <w:b/>
                <w:sz w:val="17"/>
              </w:rPr>
              <w:t>Assay-equivalence caveat</w:t>
            </w:r>
          </w:p>
        </w:tc>
      </w:tr>
      <w:tr>
        <w:trPr>
          <w:cantSplit/>
        </w:trPr>
        <w:tc>
          <w:tcPr>
            <w:tcW w:type="dxa" w:w="2268"/>
            <w:vAlign w:val="center"/>
          </w:tcPr>
          <w:p>
            <w:r>
              <w:rPr>
                <w:sz w:val="16"/>
              </w:rPr>
              <w:t>Any fusion call</w:t>
            </w:r>
          </w:p>
        </w:tc>
        <w:tc>
          <w:tcPr>
            <w:tcW w:type="dxa" w:w="2381"/>
            <w:vAlign w:val="center"/>
          </w:tcPr>
          <w:p>
            <w:r>
              <w:rPr>
                <w:sz w:val="16"/>
              </w:rPr>
              <w:t>directly observed genomic alteration</w:t>
            </w:r>
          </w:p>
        </w:tc>
        <w:tc>
          <w:tcPr>
            <w:tcW w:type="dxa" w:w="1247"/>
            <w:vAlign w:val="center"/>
          </w:tcPr>
          <w:p>
            <w:r>
              <w:rPr>
                <w:sz w:val="16"/>
              </w:rPr>
              <w:t>25/1</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Arm-level aneuploidy burden</w:t>
            </w:r>
          </w:p>
        </w:tc>
        <w:tc>
          <w:tcPr>
            <w:tcW w:type="dxa" w:w="2381"/>
            <w:vAlign w:val="center"/>
          </w:tcPr>
          <w:p>
            <w:r>
              <w:rPr>
                <w:sz w:val="16"/>
              </w:rPr>
              <w:t>sequencing-derived continuous burden</w:t>
            </w:r>
          </w:p>
        </w:tc>
        <w:tc>
          <w:tcPr>
            <w:tcW w:type="dxa" w:w="1247"/>
            <w:vAlign w:val="center"/>
          </w:tcPr>
          <w:p>
            <w:r>
              <w:rPr>
                <w:sz w:val="16"/>
              </w:rPr>
              <w:t>90/3</w:t>
            </w:r>
          </w:p>
        </w:tc>
        <w:tc>
          <w:tcPr>
            <w:tcW w:type="dxa" w:w="2835"/>
            <w:vAlign w:val="center"/>
          </w:tcPr>
          <w:p>
            <w:r>
              <w:rPr>
                <w:sz w:val="16"/>
              </w:rPr>
              <w:t>Allele-specific copy-number profiles</w:t>
            </w:r>
          </w:p>
        </w:tc>
        <w:tc>
          <w:tcPr>
            <w:tcW w:type="dxa" w:w="2608"/>
            <w:vAlign w:val="center"/>
          </w:tcPr>
          <w:p>
            <w:r>
              <w:rPr>
                <w:sz w:val="16"/>
              </w:rPr>
              <w:t>Computationally derived burden</w:t>
            </w:r>
          </w:p>
        </w:tc>
        <w:tc>
          <w:tcPr>
            <w:tcW w:type="dxa" w:w="4649"/>
            <w:vAlign w:val="center"/>
          </w:tcPr>
          <w:p>
            <w:r>
              <w:rPr>
                <w:sz w:val="16"/>
              </w:rPr>
              <w:t>Taylor et al. arm-level gain/loss scoring; continuous values are averaged across finite primary aliquots; scale: Non-negative arm count</w:t>
            </w:r>
          </w:p>
        </w:tc>
        <w:tc>
          <w:tcPr>
            <w:tcW w:type="dxa" w:w="3402"/>
            <w:vAlign w:val="center"/>
          </w:tcPr>
          <w:p>
            <w:r>
              <w:rPr>
                <w:sz w:val="16"/>
              </w:rPr>
              <w:t>Research computational burden, not a directly measured cell count</w:t>
            </w:r>
          </w:p>
        </w:tc>
      </w:tr>
      <w:tr>
        <w:trPr>
          <w:cantSplit/>
        </w:trPr>
        <w:tc>
          <w:tcPr>
            <w:tcW w:type="dxa" w:w="2268"/>
            <w:vAlign w:val="center"/>
          </w:tcPr>
          <w:p>
            <w:r>
              <w:rPr>
                <w:sz w:val="16"/>
              </w:rPr>
              <w:t>CIBERSORT immune-cell fraction</w:t>
            </w:r>
          </w:p>
        </w:tc>
        <w:tc>
          <w:tcPr>
            <w:tcW w:type="dxa" w:w="2381"/>
            <w:vAlign w:val="center"/>
          </w:tcPr>
          <w:p>
            <w:r>
              <w:rPr>
                <w:sz w:val="16"/>
              </w:rPr>
              <w:t>computationally inferred immune-cell fraction</w:t>
            </w:r>
          </w:p>
        </w:tc>
        <w:tc>
          <w:tcPr>
            <w:tcW w:type="dxa" w:w="1247"/>
            <w:vAlign w:val="center"/>
          </w:tcPr>
          <w:p>
            <w:r>
              <w:rPr>
                <w:sz w:val="16"/>
              </w:rPr>
              <w:t>656/22</w:t>
            </w:r>
          </w:p>
        </w:tc>
        <w:tc>
          <w:tcPr>
            <w:tcW w:type="dxa" w:w="2835"/>
            <w:vAlign w:val="center"/>
          </w:tcPr>
          <w:p>
            <w:r>
              <w:rPr>
                <w:sz w:val="16"/>
              </w:rPr>
              <w:t>Bulk-tumour RNA sequencing</w:t>
            </w:r>
          </w:p>
        </w:tc>
        <w:tc>
          <w:tcPr>
            <w:tcW w:type="dxa" w:w="2608"/>
            <w:vAlign w:val="center"/>
          </w:tcPr>
          <w:p>
            <w:r>
              <w:rPr>
                <w:sz w:val="16"/>
              </w:rPr>
              <w:t>Computationally inferred</w:t>
            </w:r>
          </w:p>
        </w:tc>
        <w:tc>
          <w:tcPr>
            <w:tcW w:type="dxa" w:w="4649"/>
            <w:vAlign w:val="center"/>
          </w:tcPr>
          <w:p>
            <w:r>
              <w:rPr>
                <w:sz w:val="16"/>
              </w:rPr>
              <w:t>CIBERSORT deconvolution with the LM22 leukocyte signature; relative fraction within the inferred leukocyte compartment; scale: Relative proportion, approximately 0–1</w:t>
            </w:r>
          </w:p>
        </w:tc>
        <w:tc>
          <w:tcPr>
            <w:tcW w:type="dxa" w:w="3402"/>
            <w:vAlign w:val="center"/>
          </w:tcPr>
          <w:p>
            <w:r>
              <w:rPr>
                <w:sz w:val="16"/>
              </w:rPr>
              <w:t>Not equivalent to flow cytometry, IHC or a direct cell count</w:t>
            </w:r>
          </w:p>
        </w:tc>
      </w:tr>
      <w:tr>
        <w:trPr>
          <w:cantSplit/>
        </w:trPr>
        <w:tc>
          <w:tcPr>
            <w:tcW w:type="dxa" w:w="2268"/>
            <w:vAlign w:val="center"/>
          </w:tcPr>
          <w:p>
            <w:r>
              <w:rPr>
                <w:sz w:val="16"/>
              </w:rPr>
              <w:t>Fusion burden</w:t>
            </w:r>
          </w:p>
        </w:tc>
        <w:tc>
          <w:tcPr>
            <w:tcW w:type="dxa" w:w="2381"/>
            <w:vAlign w:val="center"/>
          </w:tcPr>
          <w:p>
            <w:r>
              <w:rPr>
                <w:sz w:val="16"/>
              </w:rPr>
              <w:t>sequencing-derived continuous burden</w:t>
            </w:r>
          </w:p>
        </w:tc>
        <w:tc>
          <w:tcPr>
            <w:tcW w:type="dxa" w:w="1247"/>
            <w:vAlign w:val="center"/>
          </w:tcPr>
          <w:p>
            <w:r>
              <w:rPr>
                <w:sz w:val="16"/>
              </w:rPr>
              <w:t>30/1</w:t>
            </w:r>
          </w:p>
        </w:tc>
        <w:tc>
          <w:tcPr>
            <w:tcW w:type="dxa" w:w="2835"/>
            <w:vAlign w:val="center"/>
          </w:tcPr>
          <w:p>
            <w:r>
              <w:rPr>
                <w:sz w:val="16"/>
              </w:rPr>
              <w:t>Tumour RNA sequencing</w:t>
            </w:r>
          </w:p>
        </w:tc>
        <w:tc>
          <w:tcPr>
            <w:tcW w:type="dxa" w:w="2608"/>
            <w:vAlign w:val="center"/>
          </w:tcPr>
          <w:p>
            <w:r>
              <w:rPr>
                <w:sz w:val="16"/>
              </w:rPr>
              <w:t>Computational fusion calls collapsed to a count</w:t>
            </w:r>
          </w:p>
        </w:tc>
        <w:tc>
          <w:tcPr>
            <w:tcW w:type="dxa" w:w="4649"/>
            <w:vAlign w:val="center"/>
          </w:tcPr>
          <w:p>
            <w:r>
              <w:rPr>
                <w:sz w:val="16"/>
              </w:rPr>
              <w:t>Number of unique Gao et al. final-call-set fusions among covered samples; zero requires inclusion in the study sample list and no retained call; scale: Non-negative unique-fusion count</w:t>
            </w:r>
          </w:p>
        </w:tc>
        <w:tc>
          <w:tcPr>
            <w:tcW w:type="dxa" w:w="3402"/>
            <w:vAlign w:val="center"/>
          </w:tcPr>
          <w:p>
            <w:r>
              <w:rPr>
                <w:sz w:val="16"/>
              </w:rPr>
              <w:t>Research RNA-seq call burden, not a targeted clinical fusion assay</w:t>
            </w:r>
          </w:p>
        </w:tc>
      </w:tr>
      <w:tr>
        <w:trPr>
          <w:cantSplit/>
        </w:trPr>
        <w:tc>
          <w:tcPr>
            <w:tcW w:type="dxa" w:w="2268"/>
            <w:vAlign w:val="center"/>
          </w:tcPr>
          <w:p>
            <w:r>
              <w:rPr>
                <w:sz w:val="16"/>
              </w:rPr>
              <w:t>Gene-specific somatic mutation</w:t>
            </w:r>
          </w:p>
        </w:tc>
        <w:tc>
          <w:tcPr>
            <w:tcW w:type="dxa" w:w="2381"/>
            <w:vAlign w:val="center"/>
          </w:tcPr>
          <w:p>
            <w:r>
              <w:rPr>
                <w:sz w:val="16"/>
              </w:rPr>
              <w:t>directly observed genomic alteration</w:t>
            </w:r>
          </w:p>
        </w:tc>
        <w:tc>
          <w:tcPr>
            <w:tcW w:type="dxa" w:w="1247"/>
            <w:vAlign w:val="center"/>
          </w:tcPr>
          <w:p>
            <w:r>
              <w:rPr>
                <w:sz w:val="16"/>
              </w:rPr>
              <w:t>238/122</w:t>
            </w:r>
          </w:p>
        </w:tc>
        <w:tc>
          <w:tcPr>
            <w:tcW w:type="dxa" w:w="2835"/>
            <w:vAlign w:val="center"/>
          </w:tcPr>
          <w:p>
            <w:r>
              <w:rPr>
                <w:sz w:val="16"/>
              </w:rPr>
              <w:t>Tumour DNA sequencing (MC3 consensus somatic calls)</w:t>
            </w:r>
          </w:p>
        </w:tc>
        <w:tc>
          <w:tcPr>
            <w:tcW w:type="dxa" w:w="2608"/>
            <w:vAlign w:val="center"/>
          </w:tcPr>
          <w:p>
            <w:r>
              <w:rPr>
                <w:sz w:val="16"/>
              </w:rPr>
              <w:t>Sequence-supported alteration call; computationally called</w:t>
            </w:r>
          </w:p>
        </w:tc>
        <w:tc>
          <w:tcPr>
            <w:tcW w:type="dxa" w:w="4649"/>
            <w:vAlign w:val="center"/>
          </w:tcPr>
          <w:p>
            <w:r>
              <w:rPr>
                <w:sz w:val="16"/>
              </w:rPr>
              <w:t>MC3 consensus PASS call restricted to nine protein-altering variant classes; wild type requires a matched primary-tumour MC3 profile; scale: Binary 0/1 per gene</w:t>
            </w:r>
          </w:p>
        </w:tc>
        <w:tc>
          <w:tcPr>
            <w:tcW w:type="dxa" w:w="3402"/>
            <w:vAlign w:val="center"/>
          </w:tcPr>
          <w:p>
            <w:r>
              <w:rPr>
                <w:sz w:val="16"/>
              </w:rPr>
              <w:t>Research sequencing call, not a clinically certified companion-diagnostic assay</w:t>
            </w:r>
          </w:p>
        </w:tc>
      </w:tr>
      <w:tr>
        <w:trPr>
          <w:cantSplit/>
        </w:trPr>
        <w:tc>
          <w:tcPr>
            <w:tcW w:type="dxa" w:w="2268"/>
            <w:vAlign w:val="center"/>
          </w:tcPr>
          <w:p>
            <w:r>
              <w:rPr>
                <w:sz w:val="16"/>
              </w:rPr>
              <w:t>Genome-doubling call</w:t>
            </w:r>
          </w:p>
        </w:tc>
        <w:tc>
          <w:tcPr>
            <w:tcW w:type="dxa" w:w="2381"/>
            <w:vAlign w:val="center"/>
          </w:tcPr>
          <w:p>
            <w:r>
              <w:rPr>
                <w:sz w:val="16"/>
              </w:rPr>
              <w:t>composite genomic-context score</w:t>
            </w:r>
          </w:p>
        </w:tc>
        <w:tc>
          <w:tcPr>
            <w:tcW w:type="dxa" w:w="1247"/>
            <w:vAlign w:val="center"/>
          </w:tcPr>
          <w:p>
            <w:r>
              <w:rPr>
                <w:sz w:val="16"/>
              </w:rPr>
              <w:t>22/1</w:t>
            </w:r>
          </w:p>
        </w:tc>
        <w:tc>
          <w:tcPr>
            <w:tcW w:type="dxa" w:w="2835"/>
            <w:vAlign w:val="center"/>
          </w:tcPr>
          <w:p>
            <w:r>
              <w:rPr>
                <w:sz w:val="16"/>
              </w:rPr>
              <w:t>Allele-specific copy-number profiles</w:t>
            </w:r>
          </w:p>
        </w:tc>
        <w:tc>
          <w:tcPr>
            <w:tcW w:type="dxa" w:w="2608"/>
            <w:vAlign w:val="center"/>
          </w:tcPr>
          <w:p>
            <w:r>
              <w:rPr>
                <w:sz w:val="16"/>
              </w:rPr>
              <w:t>Computationally inferred whole-genome-doubling status</w:t>
            </w:r>
          </w:p>
        </w:tc>
        <w:tc>
          <w:tcPr>
            <w:tcW w:type="dxa" w:w="4649"/>
            <w:vAlign w:val="center"/>
          </w:tcPr>
          <w:p>
            <w:r>
              <w:rPr>
                <w:sz w:val="16"/>
              </w:rPr>
              <w:t>Taylor et al. genome-doubling call from allele-specific copy-number/ploidy analysis; any positive primary aliquot defines patient positivity; scale: Binary 0/1</w:t>
            </w:r>
          </w:p>
        </w:tc>
        <w:tc>
          <w:tcPr>
            <w:tcW w:type="dxa" w:w="3402"/>
            <w:vAlign w:val="center"/>
          </w:tcPr>
          <w:p>
            <w:r>
              <w:rPr>
                <w:sz w:val="16"/>
              </w:rPr>
              <w:t>Research copy-number inference, not a directly observed karyotype</w:t>
            </w:r>
          </w:p>
        </w:tc>
      </w:tr>
      <w:tr>
        <w:trPr>
          <w:cantSplit/>
        </w:trPr>
        <w:tc>
          <w:tcPr>
            <w:tcW w:type="dxa" w:w="2268"/>
            <w:vAlign w:val="center"/>
          </w:tcPr>
          <w:p>
            <w:r>
              <w:rPr>
                <w:sz w:val="16"/>
              </w:rPr>
              <w:t>Genomic-context score</w:t>
            </w:r>
          </w:p>
        </w:tc>
        <w:tc>
          <w:tcPr>
            <w:tcW w:type="dxa" w:w="2381"/>
            <w:vAlign w:val="center"/>
          </w:tcPr>
          <w:p>
            <w:r>
              <w:rPr>
                <w:sz w:val="16"/>
              </w:rPr>
              <w:t>composite genomic-context score</w:t>
            </w:r>
          </w:p>
        </w:tc>
        <w:tc>
          <w:tcPr>
            <w:tcW w:type="dxa" w:w="1247"/>
            <w:vAlign w:val="center"/>
          </w:tcPr>
          <w:p>
            <w:r>
              <w:rPr>
                <w:sz w:val="16"/>
              </w:rPr>
              <w:t>120/4</w:t>
            </w:r>
          </w:p>
        </w:tc>
        <w:tc>
          <w:tcPr>
            <w:tcW w:type="dxa" w:w="2835"/>
            <w:vAlign w:val="center"/>
          </w:tcPr>
          <w:p>
            <w:r>
              <w:rPr>
                <w:sz w:val="16"/>
              </w:rPr>
              <w:t>Somatic copy-number and/or variant profiles</w:t>
            </w:r>
          </w:p>
        </w:tc>
        <w:tc>
          <w:tcPr>
            <w:tcW w:type="dxa" w:w="2608"/>
            <w:vAlign w:val="center"/>
          </w:tcPr>
          <w:p>
            <w:r>
              <w:rPr>
                <w:sz w:val="16"/>
              </w:rPr>
              <w:t>Computationally derived</w:t>
            </w:r>
          </w:p>
        </w:tc>
        <w:tc>
          <w:tcPr>
            <w:tcW w:type="dxa" w:w="4649"/>
            <w:vAlign w:val="center"/>
          </w:tcPr>
          <w:p>
            <w:r>
              <w:rPr>
                <w:sz w:val="16"/>
              </w:rPr>
              <w:t>PanCancer genomic-context feature compiled by Thorsson et al.; exact source definition is retained in the PanImmune feature matrix; scale: Non-negative source score/count</w:t>
            </w:r>
          </w:p>
        </w:tc>
        <w:tc>
          <w:tcPr>
            <w:tcW w:type="dxa" w:w="3402"/>
            <w:vAlign w:val="center"/>
          </w:tcPr>
          <w:p>
            <w:r>
              <w:rPr>
                <w:sz w:val="16"/>
              </w:rPr>
              <w:t>Research computational score, not a direct laboratory measurement</w:t>
            </w:r>
          </w:p>
        </w:tc>
      </w:tr>
      <w:tr>
        <w:trPr>
          <w:cantSplit/>
        </w:trPr>
        <w:tc>
          <w:tcPr>
            <w:tcW w:type="dxa" w:w="2268"/>
            <w:vAlign w:val="center"/>
          </w:tcPr>
          <w:p>
            <w:r>
              <w:rPr>
                <w:sz w:val="16"/>
              </w:rPr>
              <w:t>H&amp;E-derived TIL regional fraction</w:t>
            </w:r>
          </w:p>
        </w:tc>
        <w:tc>
          <w:tcPr>
            <w:tcW w:type="dxa" w:w="2381"/>
            <w:vAlign w:val="center"/>
          </w:tcPr>
          <w:p>
            <w:r>
              <w:rPr>
                <w:sz w:val="16"/>
              </w:rPr>
              <w:t>pathology-associated quantity</w:t>
            </w:r>
          </w:p>
        </w:tc>
        <w:tc>
          <w:tcPr>
            <w:tcW w:type="dxa" w:w="1247"/>
            <w:vAlign w:val="center"/>
          </w:tcPr>
          <w:p>
            <w:r>
              <w:rPr>
                <w:sz w:val="16"/>
              </w:rPr>
              <w:t>13/1</w:t>
            </w:r>
          </w:p>
        </w:tc>
        <w:tc>
          <w:tcPr>
            <w:tcW w:type="dxa" w:w="2835"/>
            <w:vAlign w:val="center"/>
          </w:tcPr>
          <w:p>
            <w:r>
              <w:rPr>
                <w:sz w:val="16"/>
              </w:rPr>
              <w:t>Digitised H&amp;E whole-slide image</w:t>
            </w:r>
          </w:p>
        </w:tc>
        <w:tc>
          <w:tcPr>
            <w:tcW w:type="dxa" w:w="2608"/>
            <w:vAlign w:val="center"/>
          </w:tcPr>
          <w:p>
            <w:r>
              <w:rPr>
                <w:sz w:val="16"/>
              </w:rPr>
              <w:t>Computationally inferred from histology</w:t>
            </w:r>
          </w:p>
        </w:tc>
        <w:tc>
          <w:tcPr>
            <w:tcW w:type="dxa" w:w="4649"/>
            <w:vAlign w:val="center"/>
          </w:tcPr>
          <w:p>
            <w:r>
              <w:rPr>
                <w:sz w:val="16"/>
              </w:rPr>
              <w:t>Saltz et al. deep-learning TIL map; fraction of tissue 50×50-µm regions classified as TIL-positive; scale: Percentage of analysed tissue regions</w:t>
            </w:r>
          </w:p>
        </w:tc>
        <w:tc>
          <w:tcPr>
            <w:tcW w:type="dxa" w:w="3402"/>
            <w:vAlign w:val="center"/>
          </w:tcPr>
          <w:p>
            <w:r>
              <w:rPr>
                <w:sz w:val="16"/>
              </w:rPr>
              <w:t>Same-modality concordance target: predicting it from TITAN H&amp;E representations is not cross-modal molecular prediction or a directly counted TIL assay</w:t>
            </w:r>
          </w:p>
        </w:tc>
      </w:tr>
      <w:tr>
        <w:trPr>
          <w:cantSplit/>
        </w:trPr>
        <w:tc>
          <w:tcPr>
            <w:tcW w:type="dxa" w:w="2268"/>
            <w:vAlign w:val="center"/>
          </w:tcPr>
          <w:p>
            <w:r>
              <w:rPr>
                <w:sz w:val="16"/>
              </w:rPr>
              <w:t>Immune-repertoire diversity</w:t>
            </w:r>
          </w:p>
        </w:tc>
        <w:tc>
          <w:tcPr>
            <w:tcW w:type="dxa" w:w="2381"/>
            <w:vAlign w:val="center"/>
          </w:tcPr>
          <w:p>
            <w:r>
              <w:rPr>
                <w:sz w:val="16"/>
              </w:rPr>
              <w:t>sequencing-derived continuous burden</w:t>
            </w:r>
          </w:p>
        </w:tc>
        <w:tc>
          <w:tcPr>
            <w:tcW w:type="dxa" w:w="1247"/>
            <w:vAlign w:val="center"/>
          </w:tcPr>
          <w:p>
            <w:r>
              <w:rPr>
                <w:sz w:val="16"/>
              </w:rPr>
              <w:t>147/6</w:t>
            </w:r>
          </w:p>
        </w:tc>
        <w:tc>
          <w:tcPr>
            <w:tcW w:type="dxa" w:w="2835"/>
            <w:vAlign w:val="center"/>
          </w:tcPr>
          <w:p>
            <w:r>
              <w:rPr>
                <w:sz w:val="16"/>
              </w:rPr>
              <w:t>Unselected bulk-tumour RNA sequencing</w:t>
            </w:r>
          </w:p>
        </w:tc>
        <w:tc>
          <w:tcPr>
            <w:tcW w:type="dxa" w:w="2608"/>
            <w:vAlign w:val="center"/>
          </w:tcPr>
          <w:p>
            <w:r>
              <w:rPr>
                <w:sz w:val="16"/>
              </w:rPr>
              <w:t>Computationally reconstructed repertoire metric</w:t>
            </w:r>
          </w:p>
        </w:tc>
        <w:tc>
          <w:tcPr>
            <w:tcW w:type="dxa" w:w="4649"/>
            <w:vAlign w:val="center"/>
          </w:tcPr>
          <w:p>
            <w:r>
              <w:rPr>
                <w:sz w:val="16"/>
              </w:rPr>
              <w:t>BCR/TCR CDR3 reconstruction from RNA-seq followed by richness, Shannon or evenness calculation as supplied by Thorsson et al.; scale: Non-negative reconstructed-clonotype count</w:t>
            </w:r>
          </w:p>
        </w:tc>
        <w:tc>
          <w:tcPr>
            <w:tcW w:type="dxa" w:w="3402"/>
            <w:vAlign w:val="center"/>
          </w:tcPr>
          <w:p>
            <w:r>
              <w:rPr>
                <w:sz w:val="16"/>
              </w:rPr>
              <w:t>Not equivalent to targeted BCR/TCR sequencing or direct lymphocyte counts</w:t>
            </w:r>
          </w:p>
        </w:tc>
      </w:tr>
      <w:tr>
        <w:trPr>
          <w:cantSplit/>
        </w:trPr>
        <w:tc>
          <w:tcPr>
            <w:tcW w:type="dxa" w:w="2268"/>
            <w:vAlign w:val="center"/>
          </w:tcPr>
          <w:p>
            <w:r>
              <w:rPr>
                <w:sz w:val="16"/>
              </w:rPr>
              <w:t>Intratumour-heterogeneity score</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Somatic variant/copy-number profiles</w:t>
            </w:r>
          </w:p>
        </w:tc>
        <w:tc>
          <w:tcPr>
            <w:tcW w:type="dxa" w:w="2608"/>
            <w:vAlign w:val="center"/>
          </w:tcPr>
          <w:p>
            <w:r>
              <w:rPr>
                <w:sz w:val="16"/>
              </w:rPr>
              <w:t>Computationally inferred</w:t>
            </w:r>
          </w:p>
        </w:tc>
        <w:tc>
          <w:tcPr>
            <w:tcW w:type="dxa" w:w="4649"/>
            <w:vAlign w:val="center"/>
          </w:tcPr>
          <w:p>
            <w:r>
              <w:rPr>
                <w:sz w:val="16"/>
              </w:rPr>
              <w:t>ABSOLUTE-derived subclonal heterogeneity measure compiled by Thorsson et al.; scale: Source heterogeneity score</w:t>
            </w:r>
          </w:p>
        </w:tc>
        <w:tc>
          <w:tcPr>
            <w:tcW w:type="dxa" w:w="3402"/>
            <w:vAlign w:val="center"/>
          </w:tcPr>
          <w:p>
            <w:r>
              <w:rPr>
                <w:sz w:val="16"/>
              </w:rPr>
              <w:t>Not a direct spatial or single-cell heterogeneity measurement</w:t>
            </w:r>
          </w:p>
        </w:tc>
      </w:tr>
      <w:tr>
        <w:trPr>
          <w:cantSplit/>
        </w:trPr>
        <w:tc>
          <w:tcPr>
            <w:tcW w:type="dxa" w:w="2268"/>
            <w:vAlign w:val="center"/>
          </w:tcPr>
          <w:p>
            <w:r>
              <w:rPr>
                <w:sz w:val="16"/>
              </w:rPr>
              <w:t>MSI score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MANTIS repeat-instability score supplied by the TCGA PanCancer study; scale: Non-negative algorithm score on its source scale</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MSI threshold status</w:t>
            </w:r>
          </w:p>
        </w:tc>
        <w:tc>
          <w:tcPr>
            <w:tcW w:type="dxa" w:w="2381"/>
            <w:vAlign w:val="center"/>
          </w:tcPr>
          <w:p>
            <w:r>
              <w:rPr>
                <w:sz w:val="16"/>
              </w:rPr>
              <w:t>composite genomic-context score</w:t>
            </w:r>
          </w:p>
        </w:tc>
        <w:tc>
          <w:tcPr>
            <w:tcW w:type="dxa" w:w="1247"/>
            <w:vAlign w:val="center"/>
          </w:tcPr>
          <w:p>
            <w:r>
              <w:rPr>
                <w:sz w:val="16"/>
              </w:rPr>
              <w:t>6/2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Bonneville-aligned definition: MANTIS score &gt;0.4 is MSI-H; scale: Binary 0/1</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Methylation-derived leukocyte fraction</w:t>
            </w:r>
          </w:p>
        </w:tc>
        <w:tc>
          <w:tcPr>
            <w:tcW w:type="dxa" w:w="2381"/>
            <w:vAlign w:val="center"/>
          </w:tcPr>
          <w:p>
            <w:r>
              <w:rPr>
                <w:sz w:val="16"/>
              </w:rPr>
              <w:t>computationally inferred immune-cell fraction</w:t>
            </w:r>
          </w:p>
        </w:tc>
        <w:tc>
          <w:tcPr>
            <w:tcW w:type="dxa" w:w="1247"/>
            <w:vAlign w:val="center"/>
          </w:tcPr>
          <w:p>
            <w:r>
              <w:rPr>
                <w:sz w:val="16"/>
              </w:rPr>
              <w:t>29/1</w:t>
            </w:r>
          </w:p>
        </w:tc>
        <w:tc>
          <w:tcPr>
            <w:tcW w:type="dxa" w:w="2835"/>
            <w:vAlign w:val="center"/>
          </w:tcPr>
          <w:p>
            <w:r>
              <w:rPr>
                <w:sz w:val="16"/>
              </w:rPr>
              <w:t>Bulk-tumour DNA methylation array</w:t>
            </w:r>
          </w:p>
        </w:tc>
        <w:tc>
          <w:tcPr>
            <w:tcW w:type="dxa" w:w="2608"/>
            <w:vAlign w:val="center"/>
          </w:tcPr>
          <w:p>
            <w:r>
              <w:rPr>
                <w:sz w:val="16"/>
              </w:rPr>
              <w:t>Computationally inferred</w:t>
            </w:r>
          </w:p>
        </w:tc>
        <w:tc>
          <w:tcPr>
            <w:tcW w:type="dxa" w:w="4649"/>
            <w:vAlign w:val="center"/>
          </w:tcPr>
          <w:p>
            <w:r>
              <w:rPr>
                <w:sz w:val="16"/>
              </w:rPr>
              <w:t>PanCancer methylation mixture estimate of total leukocyte fraction; scale: Proportion, approximately 0–1</w:t>
            </w:r>
          </w:p>
        </w:tc>
        <w:tc>
          <w:tcPr>
            <w:tcW w:type="dxa" w:w="3402"/>
            <w:vAlign w:val="center"/>
          </w:tcPr>
          <w:p>
            <w:r>
              <w:rPr>
                <w:sz w:val="16"/>
              </w:rPr>
              <w:t>Not equivalent to flow cytometry, IHC or a directly counted immune-cell assay</w:t>
            </w:r>
          </w:p>
        </w:tc>
      </w:tr>
      <w:tr>
        <w:trPr>
          <w:cantSplit/>
        </w:trPr>
        <w:tc>
          <w:tcPr>
            <w:tcW w:type="dxa" w:w="2268"/>
            <w:vAlign w:val="center"/>
          </w:tcPr>
          <w:p>
            <w:r>
              <w:rPr>
                <w:sz w:val="16"/>
              </w:rPr>
              <w:t>Oncogenic-pathway alteration</w:t>
            </w:r>
          </w:p>
        </w:tc>
        <w:tc>
          <w:tcPr>
            <w:tcW w:type="dxa" w:w="2381"/>
            <w:vAlign w:val="center"/>
          </w:tcPr>
          <w:p>
            <w:r>
              <w:rPr>
                <w:sz w:val="16"/>
              </w:rPr>
              <w:t>composite genomic-context score</w:t>
            </w:r>
          </w:p>
        </w:tc>
        <w:tc>
          <w:tcPr>
            <w:tcW w:type="dxa" w:w="1247"/>
            <w:vAlign w:val="center"/>
          </w:tcPr>
          <w:p>
            <w:r>
              <w:rPr>
                <w:sz w:val="16"/>
              </w:rPr>
              <w:t>166/10</w:t>
            </w:r>
          </w:p>
        </w:tc>
        <w:tc>
          <w:tcPr>
            <w:tcW w:type="dxa" w:w="2835"/>
            <w:vAlign w:val="center"/>
          </w:tcPr>
          <w:p>
            <w:r>
              <w:rPr>
                <w:sz w:val="16"/>
              </w:rPr>
              <w:t>Integrated somatic mutation and copy-number alteration data</w:t>
            </w:r>
          </w:p>
        </w:tc>
        <w:tc>
          <w:tcPr>
            <w:tcW w:type="dxa" w:w="2608"/>
            <w:vAlign w:val="center"/>
          </w:tcPr>
          <w:p>
            <w:r>
              <w:rPr>
                <w:sz w:val="16"/>
              </w:rPr>
              <w:t>Derived binary pathway composite</w:t>
            </w:r>
          </w:p>
        </w:tc>
        <w:tc>
          <w:tcPr>
            <w:tcW w:type="dxa" w:w="4649"/>
            <w:vAlign w:val="center"/>
          </w:tcPr>
          <w:p>
            <w:r>
              <w:rPr>
                <w:sz w:val="16"/>
              </w:rPr>
              <w:t>Sanchez-Vega pathway-level matrix; a patient is positive when a source-defined member gene is altered; any altered primary aliquot defines positivity; scale: Binary 0/1 pathway status</w:t>
            </w:r>
          </w:p>
        </w:tc>
        <w:tc>
          <w:tcPr>
            <w:tcW w:type="dxa" w:w="3402"/>
            <w:vAlign w:val="center"/>
          </w:tcPr>
          <w:p>
            <w:r>
              <w:rPr>
                <w:sz w:val="16"/>
              </w:rPr>
              <w:t>Composite research label, not a single directly measured assay</w:t>
            </w:r>
          </w:p>
        </w:tc>
      </w:tr>
      <w:tr>
        <w:trPr>
          <w:cantSplit/>
        </w:trPr>
        <w:tc>
          <w:tcPr>
            <w:tcW w:type="dxa" w:w="2268"/>
            <w:vAlign w:val="center"/>
          </w:tcPr>
          <w:p>
            <w:r>
              <w:rPr>
                <w:sz w:val="16"/>
              </w:rPr>
              <w:t>Predicted neoantigen burden</w:t>
            </w:r>
          </w:p>
        </w:tc>
        <w:tc>
          <w:tcPr>
            <w:tcW w:type="dxa" w:w="2381"/>
            <w:vAlign w:val="center"/>
          </w:tcPr>
          <w:p>
            <w:r>
              <w:rPr>
                <w:sz w:val="16"/>
              </w:rPr>
              <w:t>sequencing-derived continuous burden</w:t>
            </w:r>
          </w:p>
        </w:tc>
        <w:tc>
          <w:tcPr>
            <w:tcW w:type="dxa" w:w="1247"/>
            <w:vAlign w:val="center"/>
          </w:tcPr>
          <w:p>
            <w:r>
              <w:rPr>
                <w:sz w:val="16"/>
              </w:rPr>
              <w:t>52/2</w:t>
            </w:r>
          </w:p>
        </w:tc>
        <w:tc>
          <w:tcPr>
            <w:tcW w:type="dxa" w:w="2835"/>
            <w:vAlign w:val="center"/>
          </w:tcPr>
          <w:p>
            <w:r>
              <w:rPr>
                <w:sz w:val="16"/>
              </w:rPr>
              <w:t>Somatic variants, HLA calls and tumour RNA sequencing</w:t>
            </w:r>
          </w:p>
        </w:tc>
        <w:tc>
          <w:tcPr>
            <w:tcW w:type="dxa" w:w="2608"/>
            <w:vAlign w:val="center"/>
          </w:tcPr>
          <w:p>
            <w:r>
              <w:rPr>
                <w:sz w:val="16"/>
              </w:rPr>
              <w:t>In-silico peptide–MHC prediction</w:t>
            </w:r>
          </w:p>
        </w:tc>
        <w:tc>
          <w:tcPr>
            <w:tcW w:type="dxa" w:w="4649"/>
            <w:vAlign w:val="center"/>
          </w:tcPr>
          <w:p>
            <w:r>
              <w:rPr>
                <w:sz w:val="16"/>
              </w:rPr>
              <w:t>Thorsson PanImmune neoantigen prediction workflow for SNVs or indels; scale: Non-negative predicted-neoantigen count</w:t>
            </w:r>
          </w:p>
        </w:tc>
        <w:tc>
          <w:tcPr>
            <w:tcW w:type="dxa" w:w="3402"/>
            <w:vAlign w:val="center"/>
          </w:tcPr>
          <w:p>
            <w:r>
              <w:rPr>
                <w:sz w:val="16"/>
              </w:rPr>
              <w:t>Not a directly measured T-cell response or validated neoantigen assay</w:t>
            </w:r>
          </w:p>
        </w:tc>
      </w:tr>
      <w:tr>
        <w:trPr>
          <w:cantSplit/>
        </w:trPr>
        <w:tc>
          <w:tcPr>
            <w:tcW w:type="dxa" w:w="2268"/>
            <w:vAlign w:val="center"/>
          </w:tcPr>
          <w:p>
            <w:r>
              <w:rPr>
                <w:sz w:val="16"/>
              </w:rPr>
              <w:t>Purity-derived stromal fraction</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Integrated copy-number/variant purity estimate</w:t>
            </w:r>
          </w:p>
        </w:tc>
        <w:tc>
          <w:tcPr>
            <w:tcW w:type="dxa" w:w="2608"/>
            <w:vAlign w:val="center"/>
          </w:tcPr>
          <w:p>
            <w:r>
              <w:rPr>
                <w:sz w:val="16"/>
              </w:rPr>
              <w:t>Computationally inferred</w:t>
            </w:r>
          </w:p>
        </w:tc>
        <w:tc>
          <w:tcPr>
            <w:tcW w:type="dxa" w:w="4649"/>
            <w:vAlign w:val="center"/>
          </w:tcPr>
          <w:p>
            <w:r>
              <w:rPr>
                <w:sz w:val="16"/>
              </w:rPr>
              <w:t>One minus ABSOLUTE-estimated tumour purity in the PanCancer resource; scale: Proportion, approximately 0–1</w:t>
            </w:r>
          </w:p>
        </w:tc>
        <w:tc>
          <w:tcPr>
            <w:tcW w:type="dxa" w:w="3402"/>
            <w:vAlign w:val="center"/>
          </w:tcPr>
          <w:p>
            <w:r>
              <w:rPr>
                <w:sz w:val="16"/>
              </w:rPr>
              <w:t>Not a direct histological stromal-area or stromal-cell count</w:t>
            </w:r>
          </w:p>
        </w:tc>
      </w:tr>
      <w:tr>
        <w:trPr>
          <w:cantSplit/>
        </w:trPr>
        <w:tc>
          <w:tcPr>
            <w:tcW w:type="dxa" w:w="2268"/>
            <w:vAlign w:val="center"/>
          </w:tcPr>
          <w:p>
            <w:r>
              <w:rPr>
                <w:sz w:val="16"/>
              </w:rPr>
              <w:t>RNA-expression signature</w:t>
            </w:r>
          </w:p>
        </w:tc>
        <w:tc>
          <w:tcPr>
            <w:tcW w:type="dxa" w:w="2381"/>
            <w:vAlign w:val="center"/>
          </w:tcPr>
          <w:p>
            <w:r>
              <w:rPr>
                <w:sz w:val="16"/>
              </w:rPr>
              <w:t>transcriptomic signature</w:t>
            </w:r>
          </w:p>
        </w:tc>
        <w:tc>
          <w:tcPr>
            <w:tcW w:type="dxa" w:w="1247"/>
            <w:vAlign w:val="center"/>
          </w:tcPr>
          <w:p>
            <w:r>
              <w:rPr>
                <w:sz w:val="16"/>
              </w:rPr>
              <w:t>299/10</w:t>
            </w:r>
          </w:p>
        </w:tc>
        <w:tc>
          <w:tcPr>
            <w:tcW w:type="dxa" w:w="2835"/>
            <w:vAlign w:val="center"/>
          </w:tcPr>
          <w:p>
            <w:r>
              <w:rPr>
                <w:sz w:val="16"/>
              </w:rPr>
              <w:t>Bulk-tumour RNA sequencing</w:t>
            </w:r>
          </w:p>
        </w:tc>
        <w:tc>
          <w:tcPr>
            <w:tcW w:type="dxa" w:w="2608"/>
            <w:vAlign w:val="center"/>
          </w:tcPr>
          <w:p>
            <w:r>
              <w:rPr>
                <w:sz w:val="16"/>
              </w:rPr>
              <w:t>Derived gene-set score</w:t>
            </w:r>
          </w:p>
        </w:tc>
        <w:tc>
          <w:tcPr>
            <w:tcW w:type="dxa" w:w="4649"/>
            <w:vAlign w:val="center"/>
          </w:tcPr>
          <w:p>
            <w:r>
              <w:rPr>
                <w:sz w:val="16"/>
              </w:rPr>
              <w:t>Published PanImmune gene-expression signature scoring on bulk RNA-seq; gene set and scoring definition follow Thorsson et al.; scale: Source signature score; not a physical unit</w:t>
            </w:r>
          </w:p>
        </w:tc>
        <w:tc>
          <w:tcPr>
            <w:tcW w:type="dxa" w:w="3402"/>
            <w:vAlign w:val="center"/>
          </w:tcPr>
          <w:p>
            <w:r>
              <w:rPr>
                <w:sz w:val="16"/>
              </w:rPr>
              <w:t>Not a directly measured protein, immune-cell count or certified biomarker</w:t>
            </w:r>
          </w:p>
        </w:tc>
      </w:tr>
      <w:tr>
        <w:trPr>
          <w:cantSplit/>
        </w:trPr>
        <w:tc>
          <w:tcPr>
            <w:tcW w:type="dxa" w:w="2268"/>
            <w:vAlign w:val="center"/>
          </w:tcPr>
          <w:p>
            <w:r>
              <w:rPr>
                <w:sz w:val="16"/>
              </w:rPr>
              <w:t>Recurrent fusion-pair call</w:t>
            </w:r>
          </w:p>
        </w:tc>
        <w:tc>
          <w:tcPr>
            <w:tcW w:type="dxa" w:w="2381"/>
            <w:vAlign w:val="center"/>
          </w:tcPr>
          <w:p>
            <w:r>
              <w:rPr>
                <w:sz w:val="16"/>
              </w:rPr>
              <w:t>directly observed genomic alteration</w:t>
            </w:r>
          </w:p>
        </w:tc>
        <w:tc>
          <w:tcPr>
            <w:tcW w:type="dxa" w:w="1247"/>
            <w:vAlign w:val="center"/>
          </w:tcPr>
          <w:p>
            <w:r>
              <w:rPr>
                <w:sz w:val="16"/>
              </w:rPr>
              <w:t>2/2</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Somatic mutation rate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Tumour DNA sequencing</w:t>
            </w:r>
          </w:p>
        </w:tc>
        <w:tc>
          <w:tcPr>
            <w:tcW w:type="dxa" w:w="2608"/>
            <w:vAlign w:val="center"/>
          </w:tcPr>
          <w:p>
            <w:r>
              <w:rPr>
                <w:sz w:val="16"/>
              </w:rPr>
              <w:t>Derived mutation-rate burden</w:t>
            </w:r>
          </w:p>
        </w:tc>
        <w:tc>
          <w:tcPr>
            <w:tcW w:type="dxa" w:w="4649"/>
            <w:vAlign w:val="center"/>
          </w:tcPr>
          <w:p>
            <w:r>
              <w:rPr>
                <w:sz w:val="16"/>
              </w:rPr>
              <w:t>PanCancer silent or nonsilent somatic mutation rate compiled by Thorsson et al.; scale: Non-negative source mutation rate</w:t>
            </w:r>
          </w:p>
        </w:tc>
        <w:tc>
          <w:tcPr>
            <w:tcW w:type="dxa" w:w="3402"/>
            <w:vAlign w:val="center"/>
          </w:tcPr>
          <w:p>
            <w:r>
              <w:rPr>
                <w:sz w:val="16"/>
              </w:rPr>
              <w:t>Research burden estimate, not a platform-harmonised clinical TMB assay</w:t>
            </w:r>
          </w:p>
        </w:tc>
      </w:tr>
    </w:tbl>
    <w:p/>
    <w:p>
      <w:pPr>
        <w:pStyle w:val="Heading1"/>
      </w:pPr>
      <w:r>
        <w:t>Table S14. Qualitative high/low prediction anchors and within-cancer TITAN neighbours</w:t>
      </w:r>
    </w:p>
    <w:p>
      <w:pPr>
        <w:pStyle w:val="Caption"/>
      </w:pPr>
      <w:r>
        <w:t>Panel A. Five representative modality classes. Prediction values retain their original analysed units. TIL Regional Fraction is a same-H&amp;E-modality concordance example; the remaining rows are descriptive cross-modal contexts.</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2835"/>
          </w:tcPr>
          <w:p>
            <w:r>
              <w:rPr>
                <w:b/>
                <w:sz w:val="17"/>
              </w:rPr>
              <w:t>Cancer–endpoint</w:t>
            </w:r>
          </w:p>
        </w:tc>
        <w:tc>
          <w:tcPr>
            <w:tcW w:type="dxa" w:w="2835"/>
          </w:tcPr>
          <w:p>
            <w:r>
              <w:rPr>
                <w:b/>
                <w:sz w:val="17"/>
              </w:rPr>
              <w:t>Target class</w:t>
            </w:r>
          </w:p>
        </w:tc>
        <w:tc>
          <w:tcPr>
            <w:tcW w:type="dxa" w:w="2948"/>
          </w:tcPr>
          <w:p>
            <w:r>
              <w:rPr>
                <w:b/>
                <w:sz w:val="17"/>
              </w:rPr>
              <w:t>High patient: observed/predicted</w:t>
            </w:r>
          </w:p>
        </w:tc>
        <w:tc>
          <w:tcPr>
            <w:tcW w:type="dxa" w:w="2948"/>
          </w:tcPr>
          <w:p>
            <w:r>
              <w:rPr>
                <w:b/>
                <w:sz w:val="17"/>
              </w:rPr>
              <w:t>Low patient: observed/predicted</w:t>
            </w:r>
          </w:p>
        </w:tc>
        <w:tc>
          <w:tcPr>
            <w:tcW w:type="dxa" w:w="5953"/>
          </w:tcPr>
          <w:p>
            <w:r>
              <w:rPr>
                <w:b/>
                <w:sz w:val="17"/>
              </w:rPr>
              <w:t>Interpretation</w:t>
            </w:r>
          </w:p>
        </w:tc>
      </w:tr>
      <w:tr>
        <w:trPr>
          <w:cantSplit/>
        </w:trPr>
        <w:tc>
          <w:tcPr>
            <w:tcW w:type="dxa" w:w="2835"/>
            <w:vAlign w:val="center"/>
          </w:tcPr>
          <w:p>
            <w:r>
              <w:rPr>
                <w:sz w:val="16"/>
              </w:rPr>
              <w:t>BLCA–TIL Regional Fraction</w:t>
            </w:r>
          </w:p>
        </w:tc>
        <w:tc>
          <w:tcPr>
            <w:tcW w:type="dxa" w:w="2835"/>
            <w:vAlign w:val="center"/>
          </w:tcPr>
          <w:p>
            <w:r>
              <w:rPr>
                <w:sz w:val="16"/>
              </w:rPr>
              <w:t>H&amp;E-derived pathology quantity</w:t>
            </w:r>
          </w:p>
        </w:tc>
        <w:tc>
          <w:tcPr>
            <w:tcW w:type="dxa" w:w="2948"/>
            <w:vAlign w:val="center"/>
          </w:tcPr>
          <w:p>
            <w:r>
              <w:rPr>
                <w:sz w:val="16"/>
              </w:rPr>
              <w:t>TCGA-FD-A5BS: 20.6511/23.1239</w:t>
            </w:r>
          </w:p>
        </w:tc>
        <w:tc>
          <w:tcPr>
            <w:tcW w:type="dxa" w:w="2948"/>
            <w:vAlign w:val="center"/>
          </w:tcPr>
          <w:p>
            <w:r>
              <w:rPr>
                <w:sz w:val="16"/>
              </w:rPr>
              <w:t>TCGA-BL-A0C8: 0.0199/-6.6838</w:t>
            </w:r>
          </w:p>
        </w:tc>
        <w:tc>
          <w:tcPr>
            <w:tcW w:type="dxa" w:w="5953"/>
            <w:vAlign w:val="center"/>
          </w:tcPr>
          <w:p>
            <w:r>
              <w:rPr>
                <w:sz w:val="16"/>
              </w:rPr>
              <w:t>Same-modality concordance/positive-control example because the target was itself inferred from H&amp;E; not molecular prediction</w:t>
            </w:r>
          </w:p>
        </w:tc>
      </w:tr>
      <w:tr>
        <w:trPr>
          <w:cantSplit/>
        </w:trPr>
        <w:tc>
          <w:tcPr>
            <w:tcW w:type="dxa" w:w="2835"/>
            <w:vAlign w:val="center"/>
          </w:tcPr>
          <w:p>
            <w:r>
              <w:rPr>
                <w:sz w:val="16"/>
              </w:rPr>
              <w:t>TGCT–Macrophages M2</w:t>
            </w:r>
          </w:p>
        </w:tc>
        <w:tc>
          <w:tcPr>
            <w:tcW w:type="dxa" w:w="2835"/>
            <w:vAlign w:val="center"/>
          </w:tcPr>
          <w:p>
            <w:r>
              <w:rPr>
                <w:sz w:val="16"/>
              </w:rPr>
              <w:t>RNA-derived CIBERSORT fraction</w:t>
            </w:r>
          </w:p>
        </w:tc>
        <w:tc>
          <w:tcPr>
            <w:tcW w:type="dxa" w:w="2948"/>
            <w:vAlign w:val="center"/>
          </w:tcPr>
          <w:p>
            <w:r>
              <w:rPr>
                <w:sz w:val="16"/>
              </w:rPr>
              <w:t>TCGA-YU-A94D: 0.4327/0.3316</w:t>
            </w:r>
          </w:p>
        </w:tc>
        <w:tc>
          <w:tcPr>
            <w:tcW w:type="dxa" w:w="2948"/>
            <w:vAlign w:val="center"/>
          </w:tcPr>
          <w:p>
            <w:r>
              <w:rPr>
                <w:sz w:val="16"/>
              </w:rPr>
              <w:t>TCGA-2G-AAF6: 0.0792/0.0518</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BRCA–Wound Healing</w:t>
            </w:r>
          </w:p>
        </w:tc>
        <w:tc>
          <w:tcPr>
            <w:tcW w:type="dxa" w:w="2835"/>
            <w:vAlign w:val="center"/>
          </w:tcPr>
          <w:p>
            <w:r>
              <w:rPr>
                <w:sz w:val="16"/>
              </w:rPr>
              <w:t>RNA-expression signature</w:t>
            </w:r>
          </w:p>
        </w:tc>
        <w:tc>
          <w:tcPr>
            <w:tcW w:type="dxa" w:w="2948"/>
            <w:vAlign w:val="center"/>
          </w:tcPr>
          <w:p>
            <w:r>
              <w:rPr>
                <w:sz w:val="16"/>
              </w:rPr>
              <w:t>TCGA-AR-A1AH: 0.2475/0.3821</w:t>
            </w:r>
          </w:p>
        </w:tc>
        <w:tc>
          <w:tcPr>
            <w:tcW w:type="dxa" w:w="2948"/>
            <w:vAlign w:val="center"/>
          </w:tcPr>
          <w:p>
            <w:r>
              <w:rPr>
                <w:sz w:val="16"/>
              </w:rPr>
              <w:t>TCGA-E9-A5UO: -0.1290/-0.2589</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UCEC–Aneuploidy score</w:t>
            </w:r>
          </w:p>
        </w:tc>
        <w:tc>
          <w:tcPr>
            <w:tcW w:type="dxa" w:w="2835"/>
            <w:vAlign w:val="center"/>
          </w:tcPr>
          <w:p>
            <w:r>
              <w:rPr>
                <w:sz w:val="16"/>
              </w:rPr>
              <w:t>copy-number-derived burden</w:t>
            </w:r>
          </w:p>
        </w:tc>
        <w:tc>
          <w:tcPr>
            <w:tcW w:type="dxa" w:w="2948"/>
            <w:vAlign w:val="center"/>
          </w:tcPr>
          <w:p>
            <w:r>
              <w:rPr>
                <w:sz w:val="16"/>
              </w:rPr>
              <w:t>TCGA-AJ-A23M: 20.0000/19.2810</w:t>
            </w:r>
          </w:p>
        </w:tc>
        <w:tc>
          <w:tcPr>
            <w:tcW w:type="dxa" w:w="2948"/>
            <w:vAlign w:val="center"/>
          </w:tcPr>
          <w:p>
            <w:r>
              <w:rPr>
                <w:sz w:val="16"/>
              </w:rPr>
              <w:t>TCGA-D1-A1NS: 0.0000/-1.7225</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THYM–GTF2I</w:t>
            </w:r>
          </w:p>
        </w:tc>
        <w:tc>
          <w:tcPr>
            <w:tcW w:type="dxa" w:w="2835"/>
            <w:vAlign w:val="center"/>
          </w:tcPr>
          <w:p>
            <w:r>
              <w:rPr>
                <w:sz w:val="16"/>
              </w:rPr>
              <w:t>sequence-supported mutation call</w:t>
            </w:r>
          </w:p>
        </w:tc>
        <w:tc>
          <w:tcPr>
            <w:tcW w:type="dxa" w:w="2948"/>
            <w:vAlign w:val="center"/>
          </w:tcPr>
          <w:p>
            <w:r>
              <w:rPr>
                <w:sz w:val="16"/>
              </w:rPr>
              <w:t>TCGA-ZB-A96H: 1.0000/17.8648</w:t>
            </w:r>
          </w:p>
        </w:tc>
        <w:tc>
          <w:tcPr>
            <w:tcW w:type="dxa" w:w="2948"/>
            <w:vAlign w:val="center"/>
          </w:tcPr>
          <w:p>
            <w:r>
              <w:rPr>
                <w:sz w:val="16"/>
              </w:rPr>
              <w:t>TCGA-4V-A9QS: 0.0000/-29.9794</w:t>
            </w:r>
          </w:p>
        </w:tc>
        <w:tc>
          <w:tcPr>
            <w:tcW w:type="dxa" w:w="5953"/>
            <w:vAlign w:val="center"/>
          </w:tcPr>
          <w:p>
            <w:r>
              <w:rPr>
                <w:sz w:val="16"/>
              </w:rPr>
              <w:t>Qualitative embedding-neighbour and generated-report context only; no patch attribution or blinded pathologist review</w:t>
            </w:r>
          </w:p>
        </w:tc>
      </w:tr>
    </w:tbl>
    <w:p/>
    <w:p>
      <w:pPr>
        <w:pStyle w:val="Caption"/>
      </w:pPr>
      <w:r>
        <w:t>Panel B. Anchor and nearest-neighbour records. H/L denote high/low prediction strata. Cosine similarity is to the anchor; anchor values equal 1. The complete CSV additionally includes report excerpts, slide-to-patient-mean distance, patient slide count and explicit provenance/interpretability warnings.</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cantSplit/>
        </w:trPr>
        <w:tc>
          <w:tcPr>
            <w:tcW w:type="dxa" w:w="2381"/>
          </w:tcPr>
          <w:p>
            <w:r>
              <w:rPr>
                <w:b/>
                <w:sz w:val="17"/>
              </w:rPr>
              <w:t>Model</w:t>
            </w:r>
          </w:p>
        </w:tc>
        <w:tc>
          <w:tcPr>
            <w:tcW w:type="dxa" w:w="1814"/>
          </w:tcPr>
          <w:p>
            <w:r>
              <w:rPr>
                <w:b/>
                <w:sz w:val="17"/>
              </w:rPr>
              <w:t>Stratum/role</w:t>
            </w:r>
          </w:p>
        </w:tc>
        <w:tc>
          <w:tcPr>
            <w:tcW w:type="dxa" w:w="1701"/>
          </w:tcPr>
          <w:p>
            <w:r>
              <w:rPr>
                <w:b/>
                <w:sz w:val="17"/>
              </w:rPr>
              <w:t>Patient</w:t>
            </w:r>
          </w:p>
        </w:tc>
        <w:tc>
          <w:tcPr>
            <w:tcW w:type="dxa" w:w="4535"/>
          </w:tcPr>
          <w:p>
            <w:r>
              <w:rPr>
                <w:b/>
                <w:sz w:val="17"/>
              </w:rPr>
              <w:t>Representative slide</w:t>
            </w:r>
          </w:p>
        </w:tc>
        <w:tc>
          <w:tcPr>
            <w:tcW w:type="dxa" w:w="1247"/>
          </w:tcPr>
          <w:p>
            <w:r>
              <w:rPr>
                <w:b/>
                <w:sz w:val="17"/>
              </w:rPr>
              <w:t>Observed</w:t>
            </w:r>
          </w:p>
        </w:tc>
        <w:tc>
          <w:tcPr>
            <w:tcW w:type="dxa" w:w="1361"/>
          </w:tcPr>
          <w:p>
            <w:r>
              <w:rPr>
                <w:b/>
                <w:sz w:val="17"/>
              </w:rPr>
              <w:t>Prediction</w:t>
            </w:r>
          </w:p>
        </w:tc>
        <w:tc>
          <w:tcPr>
            <w:tcW w:type="dxa" w:w="1474"/>
          </w:tcPr>
          <w:p>
            <w:r>
              <w:rPr>
                <w:b/>
                <w:sz w:val="17"/>
              </w:rPr>
              <w:t>Prediction rank</w:t>
            </w:r>
          </w:p>
        </w:tc>
        <w:tc>
          <w:tcPr>
            <w:tcW w:type="dxa" w:w="1134"/>
          </w:tcPr>
          <w:p>
            <w:r>
              <w:rPr>
                <w:b/>
                <w:sz w:val="17"/>
              </w:rPr>
              <w:t>Cosine</w:t>
            </w:r>
          </w:p>
        </w:tc>
        <w:tc>
          <w:tcPr>
            <w:tcW w:type="dxa" w:w="3969"/>
          </w:tcPr>
          <w:p>
            <w:r>
              <w:rPr>
                <w:b/>
                <w:sz w:val="17"/>
              </w:rPr>
              <w:t>Generated-report terms</w:t>
            </w:r>
          </w:p>
        </w:tc>
      </w:tr>
      <w:tr>
        <w:trPr>
          <w:cantSplit/>
        </w:trPr>
        <w:tc>
          <w:tcPr>
            <w:tcW w:type="dxa" w:w="2381"/>
            <w:vAlign w:val="center"/>
          </w:tcPr>
          <w:p>
            <w:r>
              <w:rPr>
                <w:sz w:val="16"/>
              </w:rPr>
              <w:t>BLCA–TIL Regional Fraction</w:t>
            </w:r>
          </w:p>
        </w:tc>
        <w:tc>
          <w:tcPr>
            <w:tcW w:type="dxa" w:w="1814"/>
            <w:vAlign w:val="center"/>
          </w:tcPr>
          <w:p>
            <w:r>
              <w:rPr>
                <w:sz w:val="16"/>
              </w:rPr>
              <w:t>high/anchor</w:t>
            </w:r>
          </w:p>
        </w:tc>
        <w:tc>
          <w:tcPr>
            <w:tcW w:type="dxa" w:w="1701"/>
            <w:vAlign w:val="center"/>
          </w:tcPr>
          <w:p>
            <w:r>
              <w:rPr>
                <w:sz w:val="16"/>
              </w:rPr>
              <w:t>TCGA-FD-A5BS</w:t>
            </w:r>
          </w:p>
        </w:tc>
        <w:tc>
          <w:tcPr>
            <w:tcW w:type="dxa" w:w="4535"/>
            <w:vAlign w:val="center"/>
          </w:tcPr>
          <w:p>
            <w:r>
              <w:rPr>
                <w:sz w:val="16"/>
              </w:rPr>
              <w:t>TCGA-FD-A5BS-01Z-00-DX1.A7155CEB-37C9-4AD2-B229-B76F18814585</w:t>
            </w:r>
          </w:p>
        </w:tc>
        <w:tc>
          <w:tcPr>
            <w:tcW w:type="dxa" w:w="1247"/>
            <w:vAlign w:val="center"/>
          </w:tcPr>
          <w:p>
            <w:r>
              <w:rPr>
                <w:sz w:val="16"/>
              </w:rPr>
              <w:t>20.6511</w:t>
            </w:r>
          </w:p>
        </w:tc>
        <w:tc>
          <w:tcPr>
            <w:tcW w:type="dxa" w:w="1361"/>
            <w:vAlign w:val="center"/>
          </w:tcPr>
          <w:p>
            <w:r>
              <w:rPr>
                <w:sz w:val="16"/>
              </w:rPr>
              <w:t>23.1239</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lymphoid/inflammatory infiltrate;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high/nearest neighbour</w:t>
            </w:r>
          </w:p>
        </w:tc>
        <w:tc>
          <w:tcPr>
            <w:tcW w:type="dxa" w:w="1701"/>
            <w:vAlign w:val="center"/>
          </w:tcPr>
          <w:p>
            <w:r>
              <w:rPr>
                <w:sz w:val="16"/>
              </w:rPr>
              <w:t>TCGA-K4-A5RJ</w:t>
            </w:r>
          </w:p>
        </w:tc>
        <w:tc>
          <w:tcPr>
            <w:tcW w:type="dxa" w:w="4535"/>
            <w:vAlign w:val="center"/>
          </w:tcPr>
          <w:p>
            <w:r>
              <w:rPr>
                <w:sz w:val="16"/>
              </w:rPr>
              <w:t>TCGA-K4-A5RJ-01Z-00-DX1.DFDDA8B5-E80F-4BF9-87E3-EA75E294ABF5</w:t>
            </w:r>
          </w:p>
        </w:tc>
        <w:tc>
          <w:tcPr>
            <w:tcW w:type="dxa" w:w="1247"/>
            <w:vAlign w:val="center"/>
          </w:tcPr>
          <w:p>
            <w:r>
              <w:rPr>
                <w:sz w:val="16"/>
              </w:rPr>
              <w:t>25.7771</w:t>
            </w:r>
          </w:p>
        </w:tc>
        <w:tc>
          <w:tcPr>
            <w:tcW w:type="dxa" w:w="1361"/>
            <w:vAlign w:val="center"/>
          </w:tcPr>
          <w:p>
            <w:r>
              <w:rPr>
                <w:sz w:val="16"/>
              </w:rPr>
              <w:t>18.8606</w:t>
            </w:r>
          </w:p>
        </w:tc>
        <w:tc>
          <w:tcPr>
            <w:tcW w:type="dxa" w:w="1474"/>
            <w:vAlign w:val="center"/>
          </w:tcPr>
          <w:p>
            <w:r>
              <w:rPr>
                <w:sz w:val="16"/>
              </w:rPr>
              <w:t>0.983</w:t>
            </w:r>
          </w:p>
        </w:tc>
        <w:tc>
          <w:tcPr>
            <w:tcW w:type="dxa" w:w="1134"/>
            <w:vAlign w:val="center"/>
          </w:tcPr>
          <w:p>
            <w:r>
              <w:rPr>
                <w:sz w:val="16"/>
              </w:rPr>
              <w:t>0.923</w:t>
            </w:r>
          </w:p>
        </w:tc>
        <w:tc>
          <w:tcPr>
            <w:tcW w:type="dxa" w:w="3969"/>
            <w:vAlign w:val="center"/>
          </w:tcPr>
          <w:p>
            <w:r>
              <w:rPr>
                <w:sz w:val="16"/>
              </w:rPr>
              <w:t>papillary; squamous/keratinising;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low/anchor</w:t>
            </w:r>
          </w:p>
        </w:tc>
        <w:tc>
          <w:tcPr>
            <w:tcW w:type="dxa" w:w="1701"/>
            <w:vAlign w:val="center"/>
          </w:tcPr>
          <w:p>
            <w:r>
              <w:rPr>
                <w:sz w:val="16"/>
              </w:rPr>
              <w:t>TCGA-BL-A0C8</w:t>
            </w:r>
          </w:p>
        </w:tc>
        <w:tc>
          <w:tcPr>
            <w:tcW w:type="dxa" w:w="4535"/>
            <w:vAlign w:val="center"/>
          </w:tcPr>
          <w:p>
            <w:r>
              <w:rPr>
                <w:sz w:val="16"/>
              </w:rPr>
              <w:t>TCGA-BL-A0C8-01Z-00-DX2.1D788C7B-801F-4957-B1DE-43DCAA82A16A</w:t>
            </w:r>
          </w:p>
        </w:tc>
        <w:tc>
          <w:tcPr>
            <w:tcW w:type="dxa" w:w="1247"/>
            <w:vAlign w:val="center"/>
          </w:tcPr>
          <w:p>
            <w:r>
              <w:rPr>
                <w:sz w:val="16"/>
              </w:rPr>
              <w:t>0.0199</w:t>
            </w:r>
          </w:p>
        </w:tc>
        <w:tc>
          <w:tcPr>
            <w:tcW w:type="dxa" w:w="1361"/>
            <w:vAlign w:val="center"/>
          </w:tcPr>
          <w:p>
            <w:r>
              <w:rPr>
                <w:sz w:val="16"/>
              </w:rPr>
              <w:t>-6.6838</w:t>
            </w:r>
          </w:p>
        </w:tc>
        <w:tc>
          <w:tcPr>
            <w:tcW w:type="dxa" w:w="1474"/>
            <w:vAlign w:val="center"/>
          </w:tcPr>
          <w:p>
            <w:r>
              <w:rPr>
                <w:sz w:val="16"/>
              </w:rPr>
              <w:t>0.003</w:t>
            </w:r>
          </w:p>
        </w:tc>
        <w:tc>
          <w:tcPr>
            <w:tcW w:type="dxa" w:w="1134"/>
            <w:vAlign w:val="center"/>
          </w:tcPr>
          <w:p>
            <w:r>
              <w:rPr>
                <w:sz w:val="16"/>
              </w:rPr>
              <w:t>1.000</w:t>
            </w:r>
          </w:p>
        </w:tc>
        <w:tc>
          <w:tcPr>
            <w:tcW w:type="dxa" w:w="3969"/>
            <w:vAlign w:val="center"/>
          </w:tcPr>
          <w:p>
            <w:r>
              <w:rPr>
                <w:sz w:val="16"/>
              </w:rPr>
              <w:t>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low/nearest neighbour</w:t>
            </w:r>
          </w:p>
        </w:tc>
        <w:tc>
          <w:tcPr>
            <w:tcW w:type="dxa" w:w="1701"/>
            <w:vAlign w:val="center"/>
          </w:tcPr>
          <w:p>
            <w:r>
              <w:rPr>
                <w:sz w:val="16"/>
              </w:rPr>
              <w:t>TCGA-E7-A5KE</w:t>
            </w:r>
          </w:p>
        </w:tc>
        <w:tc>
          <w:tcPr>
            <w:tcW w:type="dxa" w:w="4535"/>
            <w:vAlign w:val="center"/>
          </w:tcPr>
          <w:p>
            <w:r>
              <w:rPr>
                <w:sz w:val="16"/>
              </w:rPr>
              <w:t>TCGA-E7-A5KE-01Z-00-DX1.BDCD4071-5EE5-4863-A722-DAA32F3A7FB4</w:t>
            </w:r>
          </w:p>
        </w:tc>
        <w:tc>
          <w:tcPr>
            <w:tcW w:type="dxa" w:w="1247"/>
            <w:vAlign w:val="center"/>
          </w:tcPr>
          <w:p>
            <w:r>
              <w:rPr>
                <w:sz w:val="16"/>
              </w:rPr>
              <w:t>0.3344</w:t>
            </w:r>
          </w:p>
        </w:tc>
        <w:tc>
          <w:tcPr>
            <w:tcW w:type="dxa" w:w="1361"/>
            <w:vAlign w:val="center"/>
          </w:tcPr>
          <w:p>
            <w:r>
              <w:rPr>
                <w:sz w:val="16"/>
              </w:rPr>
              <w:t>-0.1219</w:t>
            </w:r>
          </w:p>
        </w:tc>
        <w:tc>
          <w:tcPr>
            <w:tcW w:type="dxa" w:w="1474"/>
            <w:vAlign w:val="center"/>
          </w:tcPr>
          <w:p>
            <w:r>
              <w:rPr>
                <w:sz w:val="16"/>
              </w:rPr>
              <w:t>0.051</w:t>
            </w:r>
          </w:p>
        </w:tc>
        <w:tc>
          <w:tcPr>
            <w:tcW w:type="dxa" w:w="1134"/>
            <w:vAlign w:val="center"/>
          </w:tcPr>
          <w:p>
            <w:r>
              <w:rPr>
                <w:sz w:val="16"/>
              </w:rPr>
              <w:t>0.737</w:t>
            </w:r>
          </w:p>
        </w:tc>
        <w:tc>
          <w:tcPr>
            <w:tcW w:type="dxa" w:w="3969"/>
            <w:vAlign w:val="center"/>
          </w:tcPr>
          <w:p>
            <w:r>
              <w:rPr>
                <w:sz w:val="16"/>
              </w:rPr>
              <w:t>high-grade/poorly differentiated</w:t>
            </w:r>
          </w:p>
        </w:tc>
      </w:tr>
      <w:tr>
        <w:trPr>
          <w:cantSplit/>
        </w:trPr>
        <w:tc>
          <w:tcPr>
            <w:tcW w:type="dxa" w:w="2381"/>
            <w:vAlign w:val="center"/>
          </w:tcPr>
          <w:p>
            <w:r>
              <w:rPr>
                <w:sz w:val="16"/>
              </w:rPr>
              <w:t>TGCT–Macrophages M2</w:t>
            </w:r>
          </w:p>
        </w:tc>
        <w:tc>
          <w:tcPr>
            <w:tcW w:type="dxa" w:w="1814"/>
            <w:vAlign w:val="center"/>
          </w:tcPr>
          <w:p>
            <w:r>
              <w:rPr>
                <w:sz w:val="16"/>
              </w:rPr>
              <w:t>high/anchor</w:t>
            </w:r>
          </w:p>
        </w:tc>
        <w:tc>
          <w:tcPr>
            <w:tcW w:type="dxa" w:w="1701"/>
            <w:vAlign w:val="center"/>
          </w:tcPr>
          <w:p>
            <w:r>
              <w:rPr>
                <w:sz w:val="16"/>
              </w:rPr>
              <w:t>TCGA-YU-A94D</w:t>
            </w:r>
          </w:p>
        </w:tc>
        <w:tc>
          <w:tcPr>
            <w:tcW w:type="dxa" w:w="4535"/>
            <w:vAlign w:val="center"/>
          </w:tcPr>
          <w:p>
            <w:r>
              <w:rPr>
                <w:sz w:val="16"/>
              </w:rPr>
              <w:t>TCGA-YU-A94D-01Z-00-DX1.9B1832C3-F7CA-410A-AC74-28FCB282D05D</w:t>
            </w:r>
          </w:p>
        </w:tc>
        <w:tc>
          <w:tcPr>
            <w:tcW w:type="dxa" w:w="1247"/>
            <w:vAlign w:val="center"/>
          </w:tcPr>
          <w:p>
            <w:r>
              <w:rPr>
                <w:sz w:val="16"/>
              </w:rPr>
              <w:t>0.4327</w:t>
            </w:r>
          </w:p>
        </w:tc>
        <w:tc>
          <w:tcPr>
            <w:tcW w:type="dxa" w:w="1361"/>
            <w:vAlign w:val="center"/>
          </w:tcPr>
          <w:p>
            <w:r>
              <w:rPr>
                <w:sz w:val="16"/>
              </w:rPr>
              <w:t>0.3316</w:t>
            </w:r>
          </w:p>
        </w:tc>
        <w:tc>
          <w:tcPr>
            <w:tcW w:type="dxa" w:w="1474"/>
            <w:vAlign w:val="center"/>
          </w:tcPr>
          <w:p>
            <w:r>
              <w:rPr>
                <w:sz w:val="16"/>
              </w:rPr>
              <w:t>0.932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high/nearest neighbour</w:t>
            </w:r>
          </w:p>
        </w:tc>
        <w:tc>
          <w:tcPr>
            <w:tcW w:type="dxa" w:w="1701"/>
            <w:vAlign w:val="center"/>
          </w:tcPr>
          <w:p>
            <w:r>
              <w:rPr>
                <w:sz w:val="16"/>
              </w:rPr>
              <w:t>TCGA-W4-A7U3</w:t>
            </w:r>
          </w:p>
        </w:tc>
        <w:tc>
          <w:tcPr>
            <w:tcW w:type="dxa" w:w="4535"/>
            <w:vAlign w:val="center"/>
          </w:tcPr>
          <w:p>
            <w:r>
              <w:rPr>
                <w:sz w:val="16"/>
              </w:rPr>
              <w:t>TCGA-W4-A7U3-01Z-00-DX1.C7948BAA-2AEE-4EBC-B9E8-8D14B649B50D</w:t>
            </w:r>
          </w:p>
        </w:tc>
        <w:tc>
          <w:tcPr>
            <w:tcW w:type="dxa" w:w="1247"/>
            <w:vAlign w:val="center"/>
          </w:tcPr>
          <w:p>
            <w:r>
              <w:rPr>
                <w:sz w:val="16"/>
              </w:rPr>
              <w:t>0.3326</w:t>
            </w:r>
          </w:p>
        </w:tc>
        <w:tc>
          <w:tcPr>
            <w:tcW w:type="dxa" w:w="1361"/>
            <w:vAlign w:val="center"/>
          </w:tcPr>
          <w:p>
            <w:r>
              <w:rPr>
                <w:sz w:val="16"/>
              </w:rPr>
              <w:t>0.3102</w:t>
            </w:r>
          </w:p>
        </w:tc>
        <w:tc>
          <w:tcPr>
            <w:tcW w:type="dxa" w:w="1474"/>
            <w:vAlign w:val="center"/>
          </w:tcPr>
          <w:p>
            <w:r>
              <w:rPr>
                <w:sz w:val="16"/>
              </w:rPr>
              <w:t>0.878</w:t>
            </w:r>
          </w:p>
        </w:tc>
        <w:tc>
          <w:tcPr>
            <w:tcW w:type="dxa" w:w="1134"/>
            <w:vAlign w:val="center"/>
          </w:tcPr>
          <w:p>
            <w:r>
              <w:rPr>
                <w:sz w:val="16"/>
              </w:rPr>
              <w:t>0.767</w:t>
            </w:r>
          </w:p>
        </w:tc>
        <w:tc>
          <w:tcPr>
            <w:tcW w:type="dxa" w:w="3969"/>
            <w:vAlign w:val="center"/>
          </w:tcPr>
          <w:p>
            <w:r>
              <w:rPr>
                <w:sz w:val="16"/>
              </w:rPr>
              <w:t>glandular/tubular</w:t>
            </w:r>
          </w:p>
        </w:tc>
      </w:tr>
      <w:tr>
        <w:trPr>
          <w:cantSplit/>
        </w:trPr>
        <w:tc>
          <w:tcPr>
            <w:tcW w:type="dxa" w:w="2381"/>
            <w:vAlign w:val="center"/>
          </w:tcPr>
          <w:p>
            <w:r>
              <w:rPr>
                <w:sz w:val="16"/>
              </w:rPr>
              <w:t>TGCT–Macrophages M2</w:t>
            </w:r>
          </w:p>
        </w:tc>
        <w:tc>
          <w:tcPr>
            <w:tcW w:type="dxa" w:w="1814"/>
            <w:vAlign w:val="center"/>
          </w:tcPr>
          <w:p>
            <w:r>
              <w:rPr>
                <w:sz w:val="16"/>
              </w:rPr>
              <w:t>low/anchor</w:t>
            </w:r>
          </w:p>
        </w:tc>
        <w:tc>
          <w:tcPr>
            <w:tcW w:type="dxa" w:w="1701"/>
            <w:vAlign w:val="center"/>
          </w:tcPr>
          <w:p>
            <w:r>
              <w:rPr>
                <w:sz w:val="16"/>
              </w:rPr>
              <w:t>TCGA-2G-AAF6</w:t>
            </w:r>
          </w:p>
        </w:tc>
        <w:tc>
          <w:tcPr>
            <w:tcW w:type="dxa" w:w="4535"/>
            <w:vAlign w:val="center"/>
          </w:tcPr>
          <w:p>
            <w:r>
              <w:rPr>
                <w:sz w:val="16"/>
              </w:rPr>
              <w:t>TCGA-2G-AAF6-01Z-00-DX1.B353A681-7F69-449B-99EB-9E3C63E8693A</w:t>
            </w:r>
          </w:p>
        </w:tc>
        <w:tc>
          <w:tcPr>
            <w:tcW w:type="dxa" w:w="1247"/>
            <w:vAlign w:val="center"/>
          </w:tcPr>
          <w:p>
            <w:r>
              <w:rPr>
                <w:sz w:val="16"/>
              </w:rPr>
              <w:t>0.0792</w:t>
            </w:r>
          </w:p>
        </w:tc>
        <w:tc>
          <w:tcPr>
            <w:tcW w:type="dxa" w:w="1361"/>
            <w:vAlign w:val="center"/>
          </w:tcPr>
          <w:p>
            <w:r>
              <w:rPr>
                <w:sz w:val="16"/>
              </w:rPr>
              <w:t>0.0518</w:t>
            </w:r>
          </w:p>
        </w:tc>
        <w:tc>
          <w:tcPr>
            <w:tcW w:type="dxa" w:w="1474"/>
            <w:vAlign w:val="center"/>
          </w:tcPr>
          <w:p>
            <w:r>
              <w:rPr>
                <w:sz w:val="16"/>
              </w:rPr>
              <w:t>0.020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low/nearest neighbour</w:t>
            </w:r>
          </w:p>
        </w:tc>
        <w:tc>
          <w:tcPr>
            <w:tcW w:type="dxa" w:w="1701"/>
            <w:vAlign w:val="center"/>
          </w:tcPr>
          <w:p>
            <w:r>
              <w:rPr>
                <w:sz w:val="16"/>
              </w:rPr>
              <w:t>TCGA-2G-AAEW</w:t>
            </w:r>
          </w:p>
        </w:tc>
        <w:tc>
          <w:tcPr>
            <w:tcW w:type="dxa" w:w="4535"/>
            <w:vAlign w:val="center"/>
          </w:tcPr>
          <w:p>
            <w:r>
              <w:rPr>
                <w:sz w:val="16"/>
              </w:rPr>
              <w:t>TCGA-2G-AAEW-01Z-00-DX1.82DE89BF-C648-409C-A661-32AD5C0E4775</w:t>
            </w:r>
          </w:p>
        </w:tc>
        <w:tc>
          <w:tcPr>
            <w:tcW w:type="dxa" w:w="1247"/>
            <w:vAlign w:val="center"/>
          </w:tcPr>
          <w:p>
            <w:r>
              <w:rPr>
                <w:sz w:val="16"/>
              </w:rPr>
              <w:t>0.0827</w:t>
            </w:r>
          </w:p>
        </w:tc>
        <w:tc>
          <w:tcPr>
            <w:tcW w:type="dxa" w:w="1361"/>
            <w:vAlign w:val="center"/>
          </w:tcPr>
          <w:p>
            <w:r>
              <w:rPr>
                <w:sz w:val="16"/>
              </w:rPr>
              <w:t>0.0802</w:t>
            </w:r>
          </w:p>
        </w:tc>
        <w:tc>
          <w:tcPr>
            <w:tcW w:type="dxa" w:w="1474"/>
            <w:vAlign w:val="center"/>
          </w:tcPr>
          <w:p>
            <w:r>
              <w:rPr>
                <w:sz w:val="16"/>
              </w:rPr>
              <w:t>0.081</w:t>
            </w:r>
          </w:p>
        </w:tc>
        <w:tc>
          <w:tcPr>
            <w:tcW w:type="dxa" w:w="1134"/>
            <w:vAlign w:val="center"/>
          </w:tcPr>
          <w:p>
            <w:r>
              <w:rPr>
                <w:sz w:val="16"/>
              </w:rPr>
              <w:t>0.918</w:t>
            </w:r>
          </w:p>
        </w:tc>
        <w:tc>
          <w:tcPr>
            <w:tcW w:type="dxa" w:w="3969"/>
            <w:vAlign w:val="center"/>
          </w:tcPr>
          <w:p>
            <w:r>
              <w:rPr>
                <w:sz w:val="16"/>
              </w:rPr>
              <w:t>none of the prespecified report terms</w:t>
            </w:r>
          </w:p>
        </w:tc>
      </w:tr>
      <w:tr>
        <w:trPr>
          <w:cantSplit/>
        </w:trPr>
        <w:tc>
          <w:tcPr>
            <w:tcW w:type="dxa" w:w="2381"/>
            <w:vAlign w:val="center"/>
          </w:tcPr>
          <w:p>
            <w:r>
              <w:rPr>
                <w:sz w:val="16"/>
              </w:rPr>
              <w:t>BRCA–Wound Healing</w:t>
            </w:r>
          </w:p>
        </w:tc>
        <w:tc>
          <w:tcPr>
            <w:tcW w:type="dxa" w:w="1814"/>
            <w:vAlign w:val="center"/>
          </w:tcPr>
          <w:p>
            <w:r>
              <w:rPr>
                <w:sz w:val="16"/>
              </w:rPr>
              <w:t>high/anchor</w:t>
            </w:r>
          </w:p>
        </w:tc>
        <w:tc>
          <w:tcPr>
            <w:tcW w:type="dxa" w:w="1701"/>
            <w:vAlign w:val="center"/>
          </w:tcPr>
          <w:p>
            <w:r>
              <w:rPr>
                <w:sz w:val="16"/>
              </w:rPr>
              <w:t>TCGA-AR-A1AH</w:t>
            </w:r>
          </w:p>
        </w:tc>
        <w:tc>
          <w:tcPr>
            <w:tcW w:type="dxa" w:w="4535"/>
            <w:vAlign w:val="center"/>
          </w:tcPr>
          <w:p>
            <w:r>
              <w:rPr>
                <w:sz w:val="16"/>
              </w:rPr>
              <w:t>TCGA-AR-A1AH-01Z-00-DX1.5D5D7774-77BB-4EA0-9E8E-A8D28F70A575</w:t>
            </w:r>
          </w:p>
        </w:tc>
        <w:tc>
          <w:tcPr>
            <w:tcW w:type="dxa" w:w="1247"/>
            <w:vAlign w:val="center"/>
          </w:tcPr>
          <w:p>
            <w:r>
              <w:rPr>
                <w:sz w:val="16"/>
              </w:rPr>
              <w:t>0.2475</w:t>
            </w:r>
          </w:p>
        </w:tc>
        <w:tc>
          <w:tcPr>
            <w:tcW w:type="dxa" w:w="1361"/>
            <w:vAlign w:val="center"/>
          </w:tcPr>
          <w:p>
            <w:r>
              <w:rPr>
                <w:sz w:val="16"/>
              </w:rPr>
              <w:t>0.3821</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desmoplastic/stromal</w:t>
            </w:r>
          </w:p>
        </w:tc>
      </w:tr>
      <w:tr>
        <w:trPr>
          <w:cantSplit/>
        </w:trPr>
        <w:tc>
          <w:tcPr>
            <w:tcW w:type="dxa" w:w="2381"/>
            <w:vAlign w:val="center"/>
          </w:tcPr>
          <w:p>
            <w:r>
              <w:rPr>
                <w:sz w:val="16"/>
              </w:rPr>
              <w:t>BRCA–Wound Healing</w:t>
            </w:r>
          </w:p>
        </w:tc>
        <w:tc>
          <w:tcPr>
            <w:tcW w:type="dxa" w:w="1814"/>
            <w:vAlign w:val="center"/>
          </w:tcPr>
          <w:p>
            <w:r>
              <w:rPr>
                <w:sz w:val="16"/>
              </w:rPr>
              <w:t>high/nearest neighbour</w:t>
            </w:r>
          </w:p>
        </w:tc>
        <w:tc>
          <w:tcPr>
            <w:tcW w:type="dxa" w:w="1701"/>
            <w:vAlign w:val="center"/>
          </w:tcPr>
          <w:p>
            <w:r>
              <w:rPr>
                <w:sz w:val="16"/>
              </w:rPr>
              <w:t>TCGA-HN-A2NL</w:t>
            </w:r>
          </w:p>
        </w:tc>
        <w:tc>
          <w:tcPr>
            <w:tcW w:type="dxa" w:w="4535"/>
            <w:vAlign w:val="center"/>
          </w:tcPr>
          <w:p>
            <w:r>
              <w:rPr>
                <w:sz w:val="16"/>
              </w:rPr>
              <w:t>TCGA-HN-A2NL-01Z-00-DX1.C2EAF378-4B37-4C1C-BB0F-18FAC62EEC13</w:t>
            </w:r>
          </w:p>
        </w:tc>
        <w:tc>
          <w:tcPr>
            <w:tcW w:type="dxa" w:w="1247"/>
            <w:vAlign w:val="center"/>
          </w:tcPr>
          <w:p>
            <w:r>
              <w:rPr>
                <w:sz w:val="16"/>
              </w:rPr>
              <w:t>0.3450</w:t>
            </w:r>
          </w:p>
        </w:tc>
        <w:tc>
          <w:tcPr>
            <w:tcW w:type="dxa" w:w="1361"/>
            <w:vAlign w:val="center"/>
          </w:tcPr>
          <w:p>
            <w:r>
              <w:rPr>
                <w:sz w:val="16"/>
              </w:rPr>
              <w:t>0.3292</w:t>
            </w:r>
          </w:p>
        </w:tc>
        <w:tc>
          <w:tcPr>
            <w:tcW w:type="dxa" w:w="1474"/>
            <w:vAlign w:val="center"/>
          </w:tcPr>
          <w:p>
            <w:r>
              <w:rPr>
                <w:sz w:val="16"/>
              </w:rPr>
              <w:t>0.996</w:t>
            </w:r>
          </w:p>
        </w:tc>
        <w:tc>
          <w:tcPr>
            <w:tcW w:type="dxa" w:w="1134"/>
            <w:vAlign w:val="center"/>
          </w:tcPr>
          <w:p>
            <w:r>
              <w:rPr>
                <w:sz w:val="16"/>
              </w:rPr>
              <w:t>0.825</w:t>
            </w:r>
          </w:p>
        </w:tc>
        <w:tc>
          <w:tcPr>
            <w:tcW w:type="dxa" w:w="3969"/>
            <w:vAlign w:val="center"/>
          </w:tcPr>
          <w:p>
            <w:r>
              <w:rPr>
                <w:sz w:val="16"/>
              </w:rPr>
              <w:t>high-grade/poorly differentiated</w:t>
            </w:r>
          </w:p>
        </w:tc>
      </w:tr>
      <w:tr>
        <w:trPr>
          <w:cantSplit/>
        </w:trPr>
        <w:tc>
          <w:tcPr>
            <w:tcW w:type="dxa" w:w="2381"/>
            <w:vAlign w:val="center"/>
          </w:tcPr>
          <w:p>
            <w:r>
              <w:rPr>
                <w:sz w:val="16"/>
              </w:rPr>
              <w:t>BRCA–Wound Healing</w:t>
            </w:r>
          </w:p>
        </w:tc>
        <w:tc>
          <w:tcPr>
            <w:tcW w:type="dxa" w:w="1814"/>
            <w:vAlign w:val="center"/>
          </w:tcPr>
          <w:p>
            <w:r>
              <w:rPr>
                <w:sz w:val="16"/>
              </w:rPr>
              <w:t>low/anchor</w:t>
            </w:r>
          </w:p>
        </w:tc>
        <w:tc>
          <w:tcPr>
            <w:tcW w:type="dxa" w:w="1701"/>
            <w:vAlign w:val="center"/>
          </w:tcPr>
          <w:p>
            <w:r>
              <w:rPr>
                <w:sz w:val="16"/>
              </w:rPr>
              <w:t>TCGA-E9-A5UO</w:t>
            </w:r>
          </w:p>
        </w:tc>
        <w:tc>
          <w:tcPr>
            <w:tcW w:type="dxa" w:w="4535"/>
            <w:vAlign w:val="center"/>
          </w:tcPr>
          <w:p>
            <w:r>
              <w:rPr>
                <w:sz w:val="16"/>
              </w:rPr>
              <w:t>TCGA-E9-A5UO-01Z-00-DX1.96BFEB0C-86DB-4D3B-9364-C708937219B2</w:t>
            </w:r>
          </w:p>
        </w:tc>
        <w:tc>
          <w:tcPr>
            <w:tcW w:type="dxa" w:w="1247"/>
            <w:vAlign w:val="center"/>
          </w:tcPr>
          <w:p>
            <w:r>
              <w:rPr>
                <w:sz w:val="16"/>
              </w:rPr>
              <w:t>-0.1290</w:t>
            </w:r>
          </w:p>
        </w:tc>
        <w:tc>
          <w:tcPr>
            <w:tcW w:type="dxa" w:w="1361"/>
            <w:vAlign w:val="center"/>
          </w:tcPr>
          <w:p>
            <w:r>
              <w:rPr>
                <w:sz w:val="16"/>
              </w:rPr>
              <w:t>-0.2589</w:t>
            </w:r>
          </w:p>
        </w:tc>
        <w:tc>
          <w:tcPr>
            <w:tcW w:type="dxa" w:w="1474"/>
            <w:vAlign w:val="center"/>
          </w:tcPr>
          <w:p>
            <w:r>
              <w:rPr>
                <w:sz w:val="16"/>
              </w:rPr>
              <w:t>0.001</w:t>
            </w:r>
          </w:p>
        </w:tc>
        <w:tc>
          <w:tcPr>
            <w:tcW w:type="dxa" w:w="1134"/>
            <w:vAlign w:val="center"/>
          </w:tcPr>
          <w:p>
            <w:r>
              <w:rPr>
                <w:sz w:val="16"/>
              </w:rPr>
              <w:t>1.000</w:t>
            </w:r>
          </w:p>
        </w:tc>
        <w:tc>
          <w:tcPr>
            <w:tcW w:type="dxa" w:w="3969"/>
            <w:vAlign w:val="center"/>
          </w:tcPr>
          <w:p>
            <w:r>
              <w:rPr>
                <w:sz w:val="16"/>
              </w:rPr>
              <w:t>mucinous</w:t>
            </w:r>
          </w:p>
        </w:tc>
      </w:tr>
      <w:tr>
        <w:trPr>
          <w:cantSplit/>
        </w:trPr>
        <w:tc>
          <w:tcPr>
            <w:tcW w:type="dxa" w:w="2381"/>
            <w:vAlign w:val="center"/>
          </w:tcPr>
          <w:p>
            <w:r>
              <w:rPr>
                <w:sz w:val="16"/>
              </w:rPr>
              <w:t>BRCA–Wound Healing</w:t>
            </w:r>
          </w:p>
        </w:tc>
        <w:tc>
          <w:tcPr>
            <w:tcW w:type="dxa" w:w="1814"/>
            <w:vAlign w:val="center"/>
          </w:tcPr>
          <w:p>
            <w:r>
              <w:rPr>
                <w:sz w:val="16"/>
              </w:rPr>
              <w:t>low/nearest neighbour</w:t>
            </w:r>
          </w:p>
        </w:tc>
        <w:tc>
          <w:tcPr>
            <w:tcW w:type="dxa" w:w="1701"/>
            <w:vAlign w:val="center"/>
          </w:tcPr>
          <w:p>
            <w:r>
              <w:rPr>
                <w:sz w:val="16"/>
              </w:rPr>
              <w:t>TCGA-AC-A8OR</w:t>
            </w:r>
          </w:p>
        </w:tc>
        <w:tc>
          <w:tcPr>
            <w:tcW w:type="dxa" w:w="4535"/>
            <w:vAlign w:val="center"/>
          </w:tcPr>
          <w:p>
            <w:r>
              <w:rPr>
                <w:sz w:val="16"/>
              </w:rPr>
              <w:t>TCGA-AC-A8OR-01Z-00-DX1.C9A35592-1E73-40D4-834A-46E3471D84A3</w:t>
            </w:r>
          </w:p>
        </w:tc>
        <w:tc>
          <w:tcPr>
            <w:tcW w:type="dxa" w:w="1247"/>
            <w:vAlign w:val="center"/>
          </w:tcPr>
          <w:p>
            <w:r>
              <w:rPr>
                <w:sz w:val="16"/>
              </w:rPr>
              <w:t>-0.1420</w:t>
            </w:r>
          </w:p>
        </w:tc>
        <w:tc>
          <w:tcPr>
            <w:tcW w:type="dxa" w:w="1361"/>
            <w:vAlign w:val="center"/>
          </w:tcPr>
          <w:p>
            <w:r>
              <w:rPr>
                <w:sz w:val="16"/>
              </w:rPr>
              <w:t>-0.1024</w:t>
            </w:r>
          </w:p>
        </w:tc>
        <w:tc>
          <w:tcPr>
            <w:tcW w:type="dxa" w:w="1474"/>
            <w:vAlign w:val="center"/>
          </w:tcPr>
          <w:p>
            <w:r>
              <w:rPr>
                <w:sz w:val="16"/>
              </w:rPr>
              <w:t>0.137</w:t>
            </w:r>
          </w:p>
        </w:tc>
        <w:tc>
          <w:tcPr>
            <w:tcW w:type="dxa" w:w="1134"/>
            <w:vAlign w:val="center"/>
          </w:tcPr>
          <w:p>
            <w:r>
              <w:rPr>
                <w:sz w:val="16"/>
              </w:rPr>
              <w:t>0.838</w:t>
            </w:r>
          </w:p>
        </w:tc>
        <w:tc>
          <w:tcPr>
            <w:tcW w:type="dxa" w:w="3969"/>
            <w:vAlign w:val="center"/>
          </w:tcPr>
          <w:p>
            <w:r>
              <w:rPr>
                <w:sz w:val="16"/>
              </w:rPr>
              <w:t>mucinous; low-grade/well differentiated</w:t>
            </w:r>
          </w:p>
        </w:tc>
      </w:tr>
      <w:tr>
        <w:trPr>
          <w:cantSplit/>
        </w:trPr>
        <w:tc>
          <w:tcPr>
            <w:tcW w:type="dxa" w:w="2381"/>
            <w:vAlign w:val="center"/>
          </w:tcPr>
          <w:p>
            <w:r>
              <w:rPr>
                <w:sz w:val="16"/>
              </w:rPr>
              <w:t>UCEC–Aneuploidy score</w:t>
            </w:r>
          </w:p>
        </w:tc>
        <w:tc>
          <w:tcPr>
            <w:tcW w:type="dxa" w:w="1814"/>
            <w:vAlign w:val="center"/>
          </w:tcPr>
          <w:p>
            <w:r>
              <w:rPr>
                <w:sz w:val="16"/>
              </w:rPr>
              <w:t>high/anchor</w:t>
            </w:r>
          </w:p>
        </w:tc>
        <w:tc>
          <w:tcPr>
            <w:tcW w:type="dxa" w:w="1701"/>
            <w:vAlign w:val="center"/>
          </w:tcPr>
          <w:p>
            <w:r>
              <w:rPr>
                <w:sz w:val="16"/>
              </w:rPr>
              <w:t>TCGA-AJ-A23M</w:t>
            </w:r>
          </w:p>
        </w:tc>
        <w:tc>
          <w:tcPr>
            <w:tcW w:type="dxa" w:w="4535"/>
            <w:vAlign w:val="center"/>
          </w:tcPr>
          <w:p>
            <w:r>
              <w:rPr>
                <w:sz w:val="16"/>
              </w:rPr>
              <w:t>TCGA-AJ-A23M-01Z-00-DX1.F2FD9BFC-8A07-4F62-AFFB-4A34329254AE</w:t>
            </w:r>
          </w:p>
        </w:tc>
        <w:tc>
          <w:tcPr>
            <w:tcW w:type="dxa" w:w="1247"/>
            <w:vAlign w:val="center"/>
          </w:tcPr>
          <w:p>
            <w:r>
              <w:rPr>
                <w:sz w:val="16"/>
              </w:rPr>
              <w:t>20.0000</w:t>
            </w:r>
          </w:p>
        </w:tc>
        <w:tc>
          <w:tcPr>
            <w:tcW w:type="dxa" w:w="1361"/>
            <w:vAlign w:val="center"/>
          </w:tcPr>
          <w:p>
            <w:r>
              <w:rPr>
                <w:sz w:val="16"/>
              </w:rPr>
              <w:t>19.2810</w:t>
            </w:r>
          </w:p>
        </w:tc>
        <w:tc>
          <w:tcPr>
            <w:tcW w:type="dxa" w:w="1474"/>
            <w:vAlign w:val="center"/>
          </w:tcPr>
          <w:p>
            <w:r>
              <w:rPr>
                <w:sz w:val="16"/>
              </w:rPr>
              <w:t>0.998</w:t>
            </w:r>
          </w:p>
        </w:tc>
        <w:tc>
          <w:tcPr>
            <w:tcW w:type="dxa" w:w="1134"/>
            <w:vAlign w:val="center"/>
          </w:tcPr>
          <w:p>
            <w:r>
              <w:rPr>
                <w:sz w:val="16"/>
              </w:rPr>
              <w:t>1.000</w:t>
            </w:r>
          </w:p>
        </w:tc>
        <w:tc>
          <w:tcPr>
            <w:tcW w:type="dxa" w:w="3969"/>
            <w:vAlign w:val="center"/>
          </w:tcPr>
          <w:p>
            <w:r>
              <w:rPr>
                <w:sz w:val="16"/>
              </w:rPr>
              <w:t>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high/nearest neighbour</w:t>
            </w:r>
          </w:p>
        </w:tc>
        <w:tc>
          <w:tcPr>
            <w:tcW w:type="dxa" w:w="1701"/>
            <w:vAlign w:val="center"/>
          </w:tcPr>
          <w:p>
            <w:r>
              <w:rPr>
                <w:sz w:val="16"/>
              </w:rPr>
              <w:t>TCGA-EY-A212</w:t>
            </w:r>
          </w:p>
        </w:tc>
        <w:tc>
          <w:tcPr>
            <w:tcW w:type="dxa" w:w="4535"/>
            <w:vAlign w:val="center"/>
          </w:tcPr>
          <w:p>
            <w:r>
              <w:rPr>
                <w:sz w:val="16"/>
              </w:rPr>
              <w:t>TCGA-EY-A212-01Z-00-DX1.948F98F8-1360-406F-AF7B-B30ED54114EC</w:t>
            </w:r>
          </w:p>
        </w:tc>
        <w:tc>
          <w:tcPr>
            <w:tcW w:type="dxa" w:w="1247"/>
            <w:vAlign w:val="center"/>
          </w:tcPr>
          <w:p>
            <w:r>
              <w:rPr>
                <w:sz w:val="16"/>
              </w:rPr>
              <w:t>5.0000</w:t>
            </w:r>
          </w:p>
        </w:tc>
        <w:tc>
          <w:tcPr>
            <w:tcW w:type="dxa" w:w="1361"/>
            <w:vAlign w:val="center"/>
          </w:tcPr>
          <w:p>
            <w:r>
              <w:rPr>
                <w:sz w:val="16"/>
              </w:rPr>
              <w:t>20.6984</w:t>
            </w:r>
          </w:p>
        </w:tc>
        <w:tc>
          <w:tcPr>
            <w:tcW w:type="dxa" w:w="1474"/>
            <w:vAlign w:val="center"/>
          </w:tcPr>
          <w:p>
            <w:r>
              <w:rPr>
                <w:sz w:val="16"/>
              </w:rPr>
              <w:t>1.000</w:t>
            </w:r>
          </w:p>
        </w:tc>
        <w:tc>
          <w:tcPr>
            <w:tcW w:type="dxa" w:w="1134"/>
            <w:vAlign w:val="center"/>
          </w:tcPr>
          <w:p>
            <w:r>
              <w:rPr>
                <w:sz w:val="16"/>
              </w:rPr>
              <w:t>0.836</w:t>
            </w:r>
          </w:p>
        </w:tc>
        <w:tc>
          <w:tcPr>
            <w:tcW w:type="dxa" w:w="3969"/>
            <w:vAlign w:val="center"/>
          </w:tcPr>
          <w:p>
            <w:r>
              <w:rPr>
                <w:sz w:val="16"/>
              </w:rPr>
              <w:t>desmoplastic/stromal; 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low/anchor</w:t>
            </w:r>
          </w:p>
        </w:tc>
        <w:tc>
          <w:tcPr>
            <w:tcW w:type="dxa" w:w="1701"/>
            <w:vAlign w:val="center"/>
          </w:tcPr>
          <w:p>
            <w:r>
              <w:rPr>
                <w:sz w:val="16"/>
              </w:rPr>
              <w:t>TCGA-D1-A1NS</w:t>
            </w:r>
          </w:p>
        </w:tc>
        <w:tc>
          <w:tcPr>
            <w:tcW w:type="dxa" w:w="4535"/>
            <w:vAlign w:val="center"/>
          </w:tcPr>
          <w:p>
            <w:r>
              <w:rPr>
                <w:sz w:val="16"/>
              </w:rPr>
              <w:t>TCGA-D1-A1NS-01Z-00-DX1.9050E639-6F28-417C-9C42-6413962F6E3C</w:t>
            </w:r>
          </w:p>
        </w:tc>
        <w:tc>
          <w:tcPr>
            <w:tcW w:type="dxa" w:w="1247"/>
            <w:vAlign w:val="center"/>
          </w:tcPr>
          <w:p>
            <w:r>
              <w:rPr>
                <w:sz w:val="16"/>
              </w:rPr>
              <w:t>0.0000</w:t>
            </w:r>
          </w:p>
        </w:tc>
        <w:tc>
          <w:tcPr>
            <w:tcW w:type="dxa" w:w="1361"/>
            <w:vAlign w:val="center"/>
          </w:tcPr>
          <w:p>
            <w:r>
              <w:rPr>
                <w:sz w:val="16"/>
              </w:rPr>
              <w:t>-1.7225</w:t>
            </w:r>
          </w:p>
        </w:tc>
        <w:tc>
          <w:tcPr>
            <w:tcW w:type="dxa" w:w="1474"/>
            <w:vAlign w:val="center"/>
          </w:tcPr>
          <w:p>
            <w:r>
              <w:rPr>
                <w:sz w:val="16"/>
              </w:rPr>
              <w:t>0.002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UCEC–Aneuploidy score</w:t>
            </w:r>
          </w:p>
        </w:tc>
        <w:tc>
          <w:tcPr>
            <w:tcW w:type="dxa" w:w="1814"/>
            <w:vAlign w:val="center"/>
          </w:tcPr>
          <w:p>
            <w:r>
              <w:rPr>
                <w:sz w:val="16"/>
              </w:rPr>
              <w:t>low/nearest neighbour</w:t>
            </w:r>
          </w:p>
        </w:tc>
        <w:tc>
          <w:tcPr>
            <w:tcW w:type="dxa" w:w="1701"/>
            <w:vAlign w:val="center"/>
          </w:tcPr>
          <w:p>
            <w:r>
              <w:rPr>
                <w:sz w:val="16"/>
              </w:rPr>
              <w:t>TCGA-D1-A15W</w:t>
            </w:r>
          </w:p>
        </w:tc>
        <w:tc>
          <w:tcPr>
            <w:tcW w:type="dxa" w:w="4535"/>
            <w:vAlign w:val="center"/>
          </w:tcPr>
          <w:p>
            <w:r>
              <w:rPr>
                <w:sz w:val="16"/>
              </w:rPr>
              <w:t>TCGA-D1-A15W-01Z-00-DX1.34F5EB62-FB33-4CDA-AFAB-E74A53E16011</w:t>
            </w:r>
          </w:p>
        </w:tc>
        <w:tc>
          <w:tcPr>
            <w:tcW w:type="dxa" w:w="1247"/>
            <w:vAlign w:val="center"/>
          </w:tcPr>
          <w:p>
            <w:r>
              <w:rPr>
                <w:sz w:val="16"/>
              </w:rPr>
              <w:t>0.0000</w:t>
            </w:r>
          </w:p>
        </w:tc>
        <w:tc>
          <w:tcPr>
            <w:tcW w:type="dxa" w:w="1361"/>
            <w:vAlign w:val="center"/>
          </w:tcPr>
          <w:p>
            <w:r>
              <w:rPr>
                <w:sz w:val="16"/>
              </w:rPr>
              <w:t>-1.6847</w:t>
            </w:r>
          </w:p>
        </w:tc>
        <w:tc>
          <w:tcPr>
            <w:tcW w:type="dxa" w:w="1474"/>
            <w:vAlign w:val="center"/>
          </w:tcPr>
          <w:p>
            <w:r>
              <w:rPr>
                <w:sz w:val="16"/>
              </w:rPr>
              <w:t>0.004</w:t>
            </w:r>
          </w:p>
        </w:tc>
        <w:tc>
          <w:tcPr>
            <w:tcW w:type="dxa" w:w="1134"/>
            <w:vAlign w:val="center"/>
          </w:tcPr>
          <w:p>
            <w:r>
              <w:rPr>
                <w:sz w:val="16"/>
              </w:rPr>
              <w:t>0.956</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high/anchor</w:t>
            </w:r>
          </w:p>
        </w:tc>
        <w:tc>
          <w:tcPr>
            <w:tcW w:type="dxa" w:w="1701"/>
            <w:vAlign w:val="center"/>
          </w:tcPr>
          <w:p>
            <w:r>
              <w:rPr>
                <w:sz w:val="16"/>
              </w:rPr>
              <w:t>TCGA-ZB-A96H</w:t>
            </w:r>
          </w:p>
        </w:tc>
        <w:tc>
          <w:tcPr>
            <w:tcW w:type="dxa" w:w="4535"/>
            <w:vAlign w:val="center"/>
          </w:tcPr>
          <w:p>
            <w:r>
              <w:rPr>
                <w:sz w:val="16"/>
              </w:rPr>
              <w:t>TCGA-ZB-A96H-01Z-00-DX1.3646422A-D528-49EA-9AF5-196A12B7FE2A</w:t>
            </w:r>
          </w:p>
        </w:tc>
        <w:tc>
          <w:tcPr>
            <w:tcW w:type="dxa" w:w="1247"/>
            <w:vAlign w:val="center"/>
          </w:tcPr>
          <w:p>
            <w:r>
              <w:rPr>
                <w:sz w:val="16"/>
              </w:rPr>
              <w:t>1.0000</w:t>
            </w:r>
          </w:p>
        </w:tc>
        <w:tc>
          <w:tcPr>
            <w:tcW w:type="dxa" w:w="1361"/>
            <w:vAlign w:val="center"/>
          </w:tcPr>
          <w:p>
            <w:r>
              <w:rPr>
                <w:sz w:val="16"/>
              </w:rPr>
              <w:t>17.8648</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high/nearest neighbour</w:t>
            </w:r>
          </w:p>
        </w:tc>
        <w:tc>
          <w:tcPr>
            <w:tcW w:type="dxa" w:w="1701"/>
            <w:vAlign w:val="center"/>
          </w:tcPr>
          <w:p>
            <w:r>
              <w:rPr>
                <w:sz w:val="16"/>
              </w:rPr>
              <w:t>TCGA-ZB-A96E</w:t>
            </w:r>
          </w:p>
        </w:tc>
        <w:tc>
          <w:tcPr>
            <w:tcW w:type="dxa" w:w="4535"/>
            <w:vAlign w:val="center"/>
          </w:tcPr>
          <w:p>
            <w:r>
              <w:rPr>
                <w:sz w:val="16"/>
              </w:rPr>
              <w:t>TCGA-ZB-A96E-01Z-00-DX1.F5D4CCAE-090D-467B-87D8-F07501A8D64D</w:t>
            </w:r>
          </w:p>
        </w:tc>
        <w:tc>
          <w:tcPr>
            <w:tcW w:type="dxa" w:w="1247"/>
            <w:vAlign w:val="center"/>
          </w:tcPr>
          <w:p>
            <w:r>
              <w:rPr>
                <w:sz w:val="16"/>
              </w:rPr>
              <w:t>1.0000</w:t>
            </w:r>
          </w:p>
        </w:tc>
        <w:tc>
          <w:tcPr>
            <w:tcW w:type="dxa" w:w="1361"/>
            <w:vAlign w:val="center"/>
          </w:tcPr>
          <w:p>
            <w:r>
              <w:rPr>
                <w:sz w:val="16"/>
              </w:rPr>
              <w:t>9.4740</w:t>
            </w:r>
          </w:p>
        </w:tc>
        <w:tc>
          <w:tcPr>
            <w:tcW w:type="dxa" w:w="1474"/>
            <w:vAlign w:val="center"/>
          </w:tcPr>
          <w:p>
            <w:r>
              <w:rPr>
                <w:sz w:val="16"/>
              </w:rPr>
              <w:t>0.850</w:t>
            </w:r>
          </w:p>
        </w:tc>
        <w:tc>
          <w:tcPr>
            <w:tcW w:type="dxa" w:w="1134"/>
            <w:vAlign w:val="center"/>
          </w:tcPr>
          <w:p>
            <w:r>
              <w:rPr>
                <w:sz w:val="16"/>
              </w:rPr>
              <w:t>0.872</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low/anchor</w:t>
            </w:r>
          </w:p>
        </w:tc>
        <w:tc>
          <w:tcPr>
            <w:tcW w:type="dxa" w:w="1701"/>
            <w:vAlign w:val="center"/>
          </w:tcPr>
          <w:p>
            <w:r>
              <w:rPr>
                <w:sz w:val="16"/>
              </w:rPr>
              <w:t>TCGA-4V-A9QS</w:t>
            </w:r>
          </w:p>
        </w:tc>
        <w:tc>
          <w:tcPr>
            <w:tcW w:type="dxa" w:w="4535"/>
            <w:vAlign w:val="center"/>
          </w:tcPr>
          <w:p>
            <w:r>
              <w:rPr>
                <w:sz w:val="16"/>
              </w:rPr>
              <w:t>TCGA-4V-A9QS-01Z-00-DX1.2E2AFA63-D5DD-44D0-801A-D2F5738A4F1B</w:t>
            </w:r>
          </w:p>
        </w:tc>
        <w:tc>
          <w:tcPr>
            <w:tcW w:type="dxa" w:w="1247"/>
            <w:vAlign w:val="center"/>
          </w:tcPr>
          <w:p>
            <w:r>
              <w:rPr>
                <w:sz w:val="16"/>
              </w:rPr>
              <w:t>0.0000</w:t>
            </w:r>
          </w:p>
        </w:tc>
        <w:tc>
          <w:tcPr>
            <w:tcW w:type="dxa" w:w="1361"/>
            <w:vAlign w:val="center"/>
          </w:tcPr>
          <w:p>
            <w:r>
              <w:rPr>
                <w:sz w:val="16"/>
              </w:rPr>
              <w:t>-29.9794</w:t>
            </w:r>
          </w:p>
        </w:tc>
        <w:tc>
          <w:tcPr>
            <w:tcW w:type="dxa" w:w="1474"/>
            <w:vAlign w:val="center"/>
          </w:tcPr>
          <w:p>
            <w:r>
              <w:rPr>
                <w:sz w:val="16"/>
              </w:rPr>
              <w:t>0.008</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low/nearest neighbour</w:t>
            </w:r>
          </w:p>
        </w:tc>
        <w:tc>
          <w:tcPr>
            <w:tcW w:type="dxa" w:w="1701"/>
            <w:vAlign w:val="center"/>
          </w:tcPr>
          <w:p>
            <w:r>
              <w:rPr>
                <w:sz w:val="16"/>
              </w:rPr>
              <w:t>TCGA-4V-A9QJ</w:t>
            </w:r>
          </w:p>
        </w:tc>
        <w:tc>
          <w:tcPr>
            <w:tcW w:type="dxa" w:w="4535"/>
            <w:vAlign w:val="center"/>
          </w:tcPr>
          <w:p>
            <w:r>
              <w:rPr>
                <w:sz w:val="16"/>
              </w:rPr>
              <w:t>TCGA-4V-A9QJ-01Z-00-DX1.1D2A7170-200C-4355-A7E6-C611532F8AC9</w:t>
            </w:r>
          </w:p>
        </w:tc>
        <w:tc>
          <w:tcPr>
            <w:tcW w:type="dxa" w:w="1247"/>
            <w:vAlign w:val="center"/>
          </w:tcPr>
          <w:p>
            <w:r>
              <w:rPr>
                <w:sz w:val="16"/>
              </w:rPr>
              <w:t>0.0000</w:t>
            </w:r>
          </w:p>
        </w:tc>
        <w:tc>
          <w:tcPr>
            <w:tcW w:type="dxa" w:w="1361"/>
            <w:vAlign w:val="center"/>
          </w:tcPr>
          <w:p>
            <w:r>
              <w:rPr>
                <w:sz w:val="16"/>
              </w:rPr>
              <w:t>-18.3270</w:t>
            </w:r>
          </w:p>
        </w:tc>
        <w:tc>
          <w:tcPr>
            <w:tcW w:type="dxa" w:w="1474"/>
            <w:vAlign w:val="center"/>
          </w:tcPr>
          <w:p>
            <w:r>
              <w:rPr>
                <w:sz w:val="16"/>
              </w:rPr>
              <w:t>0.017</w:t>
            </w:r>
          </w:p>
        </w:tc>
        <w:tc>
          <w:tcPr>
            <w:tcW w:type="dxa" w:w="1134"/>
            <w:vAlign w:val="center"/>
          </w:tcPr>
          <w:p>
            <w:r>
              <w:rPr>
                <w:sz w:val="16"/>
              </w:rPr>
              <w:t>0.905</w:t>
            </w:r>
          </w:p>
        </w:tc>
        <w:tc>
          <w:tcPr>
            <w:tcW w:type="dxa" w:w="3969"/>
            <w:vAlign w:val="center"/>
          </w:tcPr>
          <w:p>
            <w:r>
              <w:rPr>
                <w:sz w:val="16"/>
              </w:rPr>
              <w:t>necrosis</w:t>
            </w:r>
          </w:p>
        </w:tc>
      </w:tr>
    </w:tbl>
    <w:p/>
    <w:p>
      <w:pPr>
        <w:jc w:val="center"/>
      </w:pPr>
      <w:r>
        <w:drawing>
          <wp:inline xmlns:a="http://schemas.openxmlformats.org/drawingml/2006/main" xmlns:pic="http://schemas.openxmlformats.org/drawingml/2006/picture">
            <wp:extent cx="8046720" cy="5096256"/>
            <wp:docPr id="2" name="Picture 2"/>
            <wp:cNvGraphicFramePr>
              <a:graphicFrameLocks noChangeAspect="1"/>
            </wp:cNvGraphicFramePr>
            <a:graphic>
              <a:graphicData uri="http://schemas.openxmlformats.org/drawingml/2006/picture">
                <pic:pic>
                  <pic:nvPicPr>
                    <pic:cNvPr id="0" name="FigureS4_morphology_context.png"/>
                    <pic:cNvPicPr/>
                  </pic:nvPicPr>
                  <pic:blipFill>
                    <a:blip r:embed="rId12"/>
                    <a:stretch>
                      <a:fillRect/>
                    </a:stretch>
                  </pic:blipFill>
                  <pic:spPr>
                    <a:xfrm>
                      <a:off x="0" y="0"/>
                      <a:ext cx="8046720" cy="5096256"/>
                    </a:xfrm>
                    <a:prstGeom prst="rect"/>
                  </pic:spPr>
                </pic:pic>
              </a:graphicData>
            </a:graphic>
          </wp:inline>
        </w:drawing>
      </w:r>
    </w:p>
    <w:p>
      <w:pPr>
        <w:pStyle w:val="Caption"/>
        <w:jc w:val="center"/>
      </w:pPr>
      <w:r>
        <w:t>Figure S4. Qualitative morphology context for five representative label modalities. Grey points are all repeated out-of-fold patient predictions. H/L are concordant high/low anchors and triangles are their closest within-cancer patient-level mean-embedding neighbours. The BLCA TIL Regional Fraction target was itself inferred from H&amp;E. Neighbour retrieval is not patch-level attribution; exact patient/slide identifiers, original predictions and automated-report provenance are in Table S14.</w:t>
      </w:r>
    </w:p>
    <w:p>
      <w:pPr>
        <w:sectPr>
          <w:pgSz w:w="16838" w:h="11906" w:orient="landscape"/>
          <w:pgMar w:top="850" w:right="850" w:bottom="850" w:left="850" w:header="720" w:footer="720" w:gutter="0"/>
          <w:cols w:space="720"/>
          <w:docGrid w:linePitch="360"/>
          <w:lnNumType w:countBy="1" w:restart="continuous"/>
          <w:lnNumType w:countBy="1" w:restart="continuous"/>
          <w:lnNumType w:countBy="1" w:restart="continuous"/>
          <w:lnNumType w:countBy="1" w:restart="continuous"/>
        </w:sectPr>
      </w:pPr>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3" name="Picture 3"/>
            <wp:cNvGraphicFramePr>
              <a:graphicFrameLocks noChangeAspect="1"/>
            </wp:cNvGraphicFramePr>
            <a:graphic>
              <a:graphicData uri="http://schemas.openxmlformats.org/drawingml/2006/picture">
                <pic:pic>
                  <pic:nvPicPr>
                    <pic:cNvPr id="0" name="Figure6a_pls1_vs_pls2_targets.png"/>
                    <pic:cNvPicPr/>
                  </pic:nvPicPr>
                  <pic:blipFill>
                    <a:blip r:embed="rId13"/>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4" name="Picture 4"/>
            <wp:cNvGraphicFramePr>
              <a:graphicFrameLocks noChangeAspect="1"/>
            </wp:cNvGraphicFramePr>
            <a:graphic>
              <a:graphicData uri="http://schemas.openxmlformats.org/drawingml/2006/picture">
                <pic:pic>
                  <pic:nvPicPr>
                    <pic:cNvPr id="0" name="Figure6b_pls1_vs_pls2_cancers.png"/>
                    <pic:cNvPicPr/>
                  </pic:nvPicPr>
                  <pic:blipFill>
                    <a:blip r:embed="rId14"/>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endpoint_dictionary.csv</w:t>
      </w:r>
    </w:p>
    <w:p>
      <w:pPr>
        <w:pStyle w:val="ListBullet"/>
        <w:spacing w:after="0" w:line="288" w:lineRule="auto"/>
      </w:pPr>
      <w:r>
        <w:t>endpoint_definition_dictionary.csv</w:t>
      </w:r>
    </w:p>
    <w:p>
      <w:pPr>
        <w:pStyle w:val="ListBullet"/>
        <w:spacing w:after="0" w:line="288" w:lineRule="auto"/>
      </w:pPr>
      <w:r>
        <w:t>endpoint_dictionary_summary.csv</w:t>
      </w:r>
    </w:p>
    <w:p>
      <w:pPr>
        <w:pStyle w:val="ListBullet"/>
        <w:spacing w:after="0" w:line="288" w:lineRule="auto"/>
      </w:pPr>
      <w:r>
        <w:t>morphology_context_examples.csv</w:t>
      </w:r>
    </w:p>
    <w:p>
      <w:pPr>
        <w:pStyle w:val="ListBullet"/>
        <w:spacing w:after="0" w:line="288" w:lineRule="auto"/>
      </w:pPr>
      <w:r>
        <w:t>morphology_context_model_summary.csv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pls_vs_ridge_representative_sampling_frame.csv</w:t>
      </w:r>
    </w:p>
    <w:p>
      <w:pPr>
        <w:pStyle w:val="ListBullet"/>
        <w:spacing w:after="0" w:line="288" w:lineRule="auto"/>
      </w:pPr>
      <w:r>
        <w:t>pls_vs_ridge_representative_jobs.csv</w:t>
      </w:r>
    </w:p>
    <w:p>
      <w:pPr>
        <w:pStyle w:val="ListBullet"/>
        <w:spacing w:after="0" w:line="288" w:lineRule="auto"/>
      </w:pPr>
      <w:r>
        <w:t>pls_vs_ridge_representative_repeated_nested_cv.csv</w:t>
      </w:r>
    </w:p>
    <w:p>
      <w:pPr>
        <w:pStyle w:val="ListBullet"/>
        <w:spacing w:after="0" w:line="288" w:lineRule="auto"/>
      </w:pPr>
      <w:r>
        <w:t>binary_symmetric_pls_ridge_representative_repeated_nested_cv.csv</w:t>
      </w:r>
    </w:p>
    <w:p>
      <w:pPr>
        <w:pStyle w:val="ListBullet"/>
        <w:spacing w:after="0" w:line="288" w:lineRule="auto"/>
      </w:pPr>
      <w:r>
        <w:t>pls_vs_ridge_representative_paired_repeat_metrics.csv</w:t>
      </w:r>
    </w:p>
    <w:p>
      <w:pPr>
        <w:pStyle w:val="ListBullet"/>
        <w:spacing w:after="0" w:line="288" w:lineRule="auto"/>
      </w:pPr>
      <w:r>
        <w:t>pls_vs_ridge_representative_matched_oof_predictions.csv.gz</w:t>
      </w:r>
    </w:p>
    <w:p>
      <w:pPr>
        <w:pStyle w:val="ListBullet"/>
        <w:spacing w:after="0" w:line="288" w:lineRule="auto"/>
      </w:pPr>
      <w:r>
        <w:t>pls_vs_ridge_representative_models.csv</w:t>
      </w:r>
    </w:p>
    <w:p>
      <w:pPr>
        <w:pStyle w:val="ListBullet"/>
        <w:spacing w:after="0" w:line="288" w:lineRule="auto"/>
      </w:pPr>
      <w:r>
        <w:t>pls_vs_ridge_representative_summary.csv</w:t>
      </w:r>
    </w:p>
    <w:p>
      <w:pPr>
        <w:pStyle w:val="ListBullet"/>
        <w:spacing w:after="0" w:line="288" w:lineRule="auto"/>
      </w:pPr>
      <w:r>
        <w:t>pls_vs_ridge_representative_stratified_summary.csv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