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2,073 eligible tests. Grouping by TCGA tissue-source-site code reduced 83/323 candidates (25.7%) below the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institution-associated histology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sensitivity to grouping by TCGA tissue-source-site code;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w:t>
      </w:r>
    </w:p>
    <w:p>
      <w:r>
        <w:t>Reporting was audited against TRIPOD+AI [28]. Participant characteristics were linked from the TCGA Clinical Data Resource [29] and summarized overall and by cancer. These fields were not supplied to prediction models. In a post hoc denominator-first audit, a cancer–endpoint model was considered high volume at ≥200 outcome-labelled patients. Performance was recalculated within the fixed five-repeat held-out predictions when a continuous subgroup contained ≥50 patients or a binary subgroup contained ≥20 positive and ≥20 negative patients. Recorded sex used the TCGA CDR gender field; broad race retained White, Black or African American, Asian and other recorded categories separately. Continuous subgroup metrics were Q², RMSE and Spearman correlation; binary metrics were sensitivity, specificity, balanced accuracy, AUROC and PR-AUC. No subgroup-specific model was refitted, no formal between-group hypothesis test or multiplicity correction was performed, and the audit was not designed to establish fairness. Exact counts and reasons for non-estimability were retained for every model–subgroup row.</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stability and stability under grouping by TCGA tissue-source-site code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institution, scanner and population variation. Validation grouped by TCGA tissue-source-site code assigned all patients sharing the same two-character code to one outer fold. The same constraint on TCGA tissue-source-site code was passed to every inner component-selection split within the outer training set; thus neither outer performance estimation nor inner tuning divided a code across folds. For every model and outer fold, we recorded test and training patients, TCGA tissue-source-site codes,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information about TCGA tissue-source-site code, we treated that code as a multiclass outcome within each cancer. This dedicated confounding analysis retained codes represented by at least 10 patients, required at least two eligible codes per cancer, and used five independently seeded nested five-fold PLS–LDA validations with the same component range and rSVD controls. The primary metric was multiclass macro balanced accuracy (mean recall across TCGA tissue-source-site codes); chance was 1/k for k analysed codes, and a chance-normalised value, (balanced accuracy − 1/k)/(1 − 1/k), was calculated for cross-cancer description. Patients with rare codes excluded from this code-classification analysis remained in all eligible molecular-endpoint analyses. This analysis tests whether the representation encodes signatures associated with TCGA tissue-source-site code;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sensitivity to grouping by TCGA tissue-source-site code.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and support the post hoc subgroup denominator audit below.</w:t>
      </w:r>
    </w:p>
    <w:p>
      <w:pPr>
        <w:pStyle w:val="Heading2"/>
      </w:pPr>
      <w:r>
        <w:t>Sex- and broad race-stratified performance audit</w:t>
      </w:r>
    </w:p>
    <w:p>
      <w:r>
        <w:t>Of 323 screen-positive models, 266 had at least 200 outcome-labelled patients. Using fixed repeated out-of-fold predictions, both recorded-sex groups met the prespecified subgroup denominator in 138 continuous and 56 binary models; at least two broad race groups were estimable in 98 continuous and 32 binary models. The complete audit contains 2,094 model–subgroup rows, including exact subgroup and binary class counts, 864 estimable performance rows and a specific non-estimability reason for every remaining row. Across estimable female–male comparisons, the median absolute difference was 0.099 in Q², 0.026 in AUROC and 0.019 in balanced accuracy. For White versus each estimable non-White category, the corresponding medians were 0.089 in Q², 0.023 in AUROC and 0.034 in balanced accuracy. These are descriptive, post hoc internal TCGA estimates from the same held-out predictions—not independently validated fairness estimates—and small differences should not be interpreted as evidence of demographic equivalence or disparity.</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65590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65590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stability and stability under grouping by TCGA tissue-source-site code reported alongside; q-values are not used for ranking.</w:t>
      </w:r>
    </w:p>
    <w:p>
      <w:pPr>
        <w:jc w:val="center"/>
      </w:pPr>
      <w:r>
        <w:drawing>
          <wp:inline xmlns:a="http://schemas.openxmlformats.org/drawingml/2006/main" xmlns:pic="http://schemas.openxmlformats.org/drawingml/2006/picture">
            <wp:extent cx="5806440" cy="381719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3817197"/>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estimates grouped by TCGA tissue-source-site code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695007"/>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695007"/>
                    </a:xfrm>
                    <a:prstGeom prst="rect"/>
                  </pic:spPr>
                </pic:pic>
              </a:graphicData>
            </a:graphic>
          </wp:inline>
        </w:drawing>
      </w:r>
    </w:p>
    <w:p>
      <w:pPr>
        <w:pStyle w:val="Caption"/>
        <w:jc w:val="center"/>
      </w:pPr>
      <w:r>
        <w:t>Figure 5. Breadth and family of screen-positive targets in the 15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Sensitivity to grouping by TCGA tissue-source-site code</w:t>
      </w:r>
    </w:p>
    <w:p>
      <w:r>
        <w:t xml:space="preserve">Internal validation grouped by TCGA tissue-source-site code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Folds grouped by TCGA tissue-source-site code contain fewer and less evenly distributed training and test patients, so the decline cannot be attributed solely to confounding by that code; nevertheless, the near-chance colorectal APC results are not adequately summarised by the median and are prominently labelled as sensitive to grouping by TCGA tissue-source-site code in the registry and research-software output. </w:t>
      </w:r>
    </w:p>
    <w:p>
      <w:r>
        <w:t>Across 1,613 outer folds, test partitions contained 1–445 patients and 1–9 TCGA tissue-source-site codes; binary folds contained 0–130 positive and 0–269 negative patients. These imbalances are intrinsic to keeping complete code groups together and are reported model by model and fold by fold. The deterministic fold audit confirmed that no TCGA tissue-source-site code crossed an outer fold and that the same separation was maintained in every inner component-selection split.</w:t>
      </w:r>
    </w:p>
    <w:p>
      <w:r>
        <w:t>The dedicated within-cancer classification of TCGA tissue-source-site code analysis was evaluable in 27/32 cancers and included 7,863 patients from codes represented by at least 10 patients. All 27 observed macro balanced accuracies exceeded their cancer-specific 1/k chance reference; the median was 0.628 (range 0.425–0.966). The strongest chance-normalised code predictability occurred in UVM (macro balanced accuracy 0.966; 3 codes); OV (macro balanced accuracy 0.963; 2 codes); PAAD (macro balanced accuracy 0.911; 5 codes); ESCA (macro balanced accuracy 0.861; 7 codes); READ (macro balanced accuracy 0.862; 5 codes). ACC, CHOL, DLBC, MESO and UCS had fewer than two codes meeting the 10-patient requirement and were reported as ineligible. This result shows substantial information associated with TCGA tissue-source-site code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Sensitivity to grouping by TCGA tissue-source-site code as a principal result. Panel A compares all 323 random-fold estimates with estimates grouped by TCGA tissue-source-site code; Panel B shows the six largest attenuations; Panel C shows the 10 strongest chance-normalised within-cancer code-classification results. Larger typography and restricted ranked panels improve readability. This grouping remains internal to TCGA; the code is not an institutional, scanner or laboratory identifier, and the analysis is not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analysis grouped by TCGA tissue-source-site code.</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r>
        <w:t>No non-TCGA patient entered model evaluation, and no external performance result is reported. The prespecified targets and protocol for future independent evaluation are provided in Supplementary Table S6c and the software documentation.</w:t>
      </w:r>
    </w:p>
    <w:p>
      <w:pPr>
        <w:pStyle w:val="Heading2"/>
      </w:pPr>
      <w:r>
        <w:t>Illustrative COAD profiles</w:t>
      </w:r>
    </w:p>
    <w:p>
      <w:r>
        <w:t>Two COAD participants, TCGA-AA-A01F and TCGA-AA-3972, illustrate contrasting continuous and binary profiles (Figure 7). The pair was chosen post hoc after clinical-text and profile-saturation restrictions and then maximising Euclidean separation across continuous TCGA OOF prediction ranks;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an illustration,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eight continuous TCGA OOF ranks; the right column preserves each original prediction. Panel B compares six binary PLS-LDA score ranks and calls with development class counts. Complete outputs remain in the separate case reports.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sensitivity to grouping by TCGA tissue-source-site code,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Sensitivity to grouping by TCGA tissue-source-site code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carry a prominent warning rather than be described as robust biological signals. The model registry and inference output therefore expose the grouped metric, delta, number of TCGA tissue-source-site codes, threshold-retention status and warning for every affected endpoint.</w:t>
      </w:r>
    </w:p>
    <w:p>
      <w:r>
        <w:t>The complementary classification analysis of TCGA tissue-source-site code analysis strengthens this interpretation: the fixed TITAN representation predicted the code within 27/32 evaluable cancers, with median macro balanced accuracy 0.628 despite cancer-specific chance references from 0.053 to 0.500. This demonstrates that information about the TCGA tissue-source-site code is present in the representation and could support confounding. It does not show that each attenuated molecular model is wholly artifactual, because the code correlates with case mix and molecular prevalence as well as technical acquisition. Conversely, successful grouping by TCGA tissue-source-site code cannot prove transportability: the barcode-derived code is not an institution, scanner, staining laboratory or batch identifier.</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sensitivity analysis grouped by TCGA tissue-source-site code,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'internal validation grouped by TCGA tissue-source-site code'—cannot establish transportability to another institution, scanner, stain distribution or patient population. The TCGA tissue-source-site code is not an institution,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The post hoc subgroup audit partially addresses demographic performance but does not establish algorithmic fairness. Among high-volume models, both recorded-sex groups were estimable for 138 continuous and 56 binary targets, whereas at least two broad race groups were estimable for only 98 continuous and 32 binary targets. Sparse Black or African American, Asian and other recorded-race groups—and, for binary endpoints, sparse positive or negative classes within those groups—were the dominant barriers. Race categories are heterogeneous administrative labels and are not substitutes for ancestry, socioeconomic context or exposure. The estimates condition on the same selected TCGA models and held-out predictions, have no external validation, and were not accompanied by formal between-group tests or multiplicity correction. Apparent similarity therefore cannot be interpreted as demographic equivalence, and apparent differences may reflect sampling error, outcome prevalence, missingness or structure associated with TCGA tissue-source-site code. Any external evaluation should prespecify representative sampling, intersectional subgroups,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