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BRCA–Proliferation (Q² 0.515, 95% bootstrap interval 0.467–0.560; RMSE 0.441, Spearman 0.740) and COAD–APC (sensitivity 0.883, specificity 0.705, balanced accuracy 0.794, 95% bootstrap interval 0.756–0.830; AUROC 0.848). The literature audit found prior statistical support for 38/41 screen-positive cancer–gene pairs. Under the multiplicity sensitivity, 219 continuous and 39 cancer–mutation pairs passed the stricter across-cancer correction; its attainable q-values in large families were limited by the 0.001 empirical-p resolution. Tissue-source-site grouping reduced 83/323 candidates (25.7%) below the original effect threshold. Within-cancer TITAN representations predicted tissue-source site in 27/32 cancers, with median multiclass macro balanced accuracy 0.628. In a selection-conditioned 24-model benchmark, median ridge-minus-PLS differences were 0.004 AUROC for binary models and 0.014 Q² for continuous models; the median binary balanced-accuracy difference under identical inner-CV threshold selection was 0.005.</w:t>
      </w:r>
    </w:p>
    <w:p>
      <w:r>
        <w:rPr>
          <w:b/>
        </w:rPr>
        <w:t xml:space="preserve">Conclusions. </w:t>
      </w:r>
      <w:r>
        <w:t>This systematic patient-level benchmark defines internally derived TCGA estimates under one fixed pretrained TITAN representation and constructs compact research models for future locked evaluation. Its contribution is methodological and resource-oriented rather than mutation-target novelty. No independent performance evidence is presented, and clinical interpretation or application is not supported.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For every binary outer fold, PLS–LDA and ridge used the identical outer split and identical inner splits. PLS component count and ridge penalty were selected entirely within the outer training set. Crucially, each method's operating threshold was then selected by the same rule: maximise balanced accuracy on that method's inner out-of-fold continuous scores, without access to the outer test fold. Threshold-independent AUROC was the primary binary algorithm-comparison metric, and balanced accuracy from these symmetrically selected thresholds was secondary. Continuous comparisons retained Q² as primary and Spearman correlation as secondary. We report magnitude, interquartile range and 95% paired-repeat intervals rather than winner counts alone. Because endpoints entered this benchmark after the PLS screen, it is a conditional sensitivity analysis and cannot establish screen-wide algorithmic superiority. Ridge was chosen as a simple linear baseline whose fitted coefficients can be exported without retaining training embeddings; nonlinear kernel predictors requiring training observations or landmarks at inference did not satisfy that portability constraint.</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candidates for further testing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TITANPred retains the binary LDA score but does not convert it to a probability. In the research-software demonstration,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with 95% patient-cluster bootstrap intervals and tissue-source-site-grouped internal sensitivity. Site-grouped values are internal TCGA estimates, not external-validation results.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CI)</w:t>
            </w:r>
          </w:p>
        </w:tc>
        <w:tc>
          <w:tcPr>
            <w:tcW w:type="dxa" w:w="1569"/>
          </w:tcPr>
          <w:p>
            <w:r>
              <w:rPr>
                <w:b/>
                <w:sz w:val="17"/>
              </w:rPr>
              <w:t>RMSE or BA (95% CI)</w:t>
            </w:r>
          </w:p>
        </w:tc>
        <w:tc>
          <w:tcPr>
            <w:tcW w:type="dxa" w:w="1569"/>
          </w:tcPr>
          <w:p>
            <w:r>
              <w:rPr>
                <w:b/>
                <w:sz w:val="17"/>
              </w:rPr>
              <w:t>Spearman or AUROC (95% CI)</w:t>
            </w:r>
          </w:p>
        </w:tc>
        <w:tc>
          <w:tcPr>
            <w:tcW w:type="dxa" w:w="1569"/>
          </w:tcPr>
          <w:p>
            <w:r>
              <w:rPr>
                <w:b/>
                <w:sz w:val="17"/>
              </w:rPr>
              <w:t>TSS-grouped metric/status</w:t>
            </w:r>
          </w:p>
        </w:tc>
      </w:tr>
      <w:tr>
        <w:trPr>
          <w:cantSplit/>
        </w:trPr>
        <w:tc>
          <w:tcPr>
            <w:tcW w:type="dxa" w:w="1569"/>
            <w:vAlign w:val="center"/>
          </w:tcPr>
          <w:p>
            <w:r>
              <w:rPr>
                <w:sz w:val="16"/>
              </w:rPr>
              <w:t>BRCA–Proliferation</w:t>
            </w:r>
          </w:p>
        </w:tc>
        <w:tc>
          <w:tcPr>
            <w:tcW w:type="dxa" w:w="1569"/>
            <w:vAlign w:val="center"/>
          </w:tcPr>
          <w:p>
            <w:r>
              <w:rPr>
                <w:sz w:val="16"/>
              </w:rPr>
              <w:t>continuous</w:t>
            </w:r>
          </w:p>
        </w:tc>
        <w:tc>
          <w:tcPr>
            <w:tcW w:type="dxa" w:w="1569"/>
            <w:vAlign w:val="center"/>
          </w:tcPr>
          <w:p>
            <w:r>
              <w:rPr>
                <w:sz w:val="16"/>
              </w:rPr>
              <w:t>0.515 (0.467–0.560)</w:t>
            </w:r>
          </w:p>
        </w:tc>
        <w:tc>
          <w:tcPr>
            <w:tcW w:type="dxa" w:w="1569"/>
            <w:vAlign w:val="center"/>
          </w:tcPr>
          <w:p>
            <w:r>
              <w:rPr>
                <w:sz w:val="16"/>
              </w:rPr>
              <w:t>0.441 (0.418–0.466)</w:t>
            </w:r>
          </w:p>
        </w:tc>
        <w:tc>
          <w:tcPr>
            <w:tcW w:type="dxa" w:w="1569"/>
            <w:vAlign w:val="center"/>
          </w:tcPr>
          <w:p>
            <w:r>
              <w:rPr>
                <w:sz w:val="16"/>
              </w:rPr>
              <w:t>0.740 (0.710–0.770)</w:t>
            </w:r>
          </w:p>
        </w:tc>
        <w:tc>
          <w:tcPr>
            <w:tcW w:type="dxa" w:w="1569"/>
            <w:vAlign w:val="center"/>
          </w:tcPr>
          <w:p>
            <w:r>
              <w:rPr>
                <w:sz w:val="16"/>
              </w:rPr>
              <w:t>Q² 0.498; retained original effect threshold</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Q² 0.508; retained original effect threshold</w:t>
            </w:r>
          </w:p>
        </w:tc>
      </w:tr>
      <w:tr>
        <w:trPr>
          <w:cantSplit/>
        </w:trPr>
        <w:tc>
          <w:tcPr>
            <w:tcW w:type="dxa" w:w="1569"/>
            <w:vAlign w:val="center"/>
          </w:tcPr>
          <w:p>
            <w:r>
              <w:rPr>
                <w:sz w:val="16"/>
              </w:rPr>
              <w:t>KIRP–Proliferation</w:t>
            </w:r>
          </w:p>
        </w:tc>
        <w:tc>
          <w:tcPr>
            <w:tcW w:type="dxa" w:w="1569"/>
            <w:vAlign w:val="center"/>
          </w:tcPr>
          <w:p>
            <w:r>
              <w:rPr>
                <w:sz w:val="16"/>
              </w:rPr>
              <w:t>continuous</w:t>
            </w:r>
          </w:p>
        </w:tc>
        <w:tc>
          <w:tcPr>
            <w:tcW w:type="dxa" w:w="1569"/>
            <w:vAlign w:val="center"/>
          </w:tcPr>
          <w:p>
            <w:r>
              <w:rPr>
                <w:sz w:val="16"/>
              </w:rPr>
              <w:t>0.499 (0.386–0.585)</w:t>
            </w:r>
          </w:p>
        </w:tc>
        <w:tc>
          <w:tcPr>
            <w:tcW w:type="dxa" w:w="1569"/>
            <w:vAlign w:val="center"/>
          </w:tcPr>
          <w:p>
            <w:r>
              <w:rPr>
                <w:sz w:val="16"/>
              </w:rPr>
              <w:t>0.400 (0.364–0.429)</w:t>
            </w:r>
          </w:p>
        </w:tc>
        <w:tc>
          <w:tcPr>
            <w:tcW w:type="dxa" w:w="1569"/>
            <w:vAlign w:val="center"/>
          </w:tcPr>
          <w:p>
            <w:r>
              <w:rPr>
                <w:sz w:val="16"/>
              </w:rPr>
              <w:t>0.605 (0.521–0.688)</w:t>
            </w:r>
          </w:p>
        </w:tc>
        <w:tc>
          <w:tcPr>
            <w:tcW w:type="dxa" w:w="1569"/>
            <w:vAlign w:val="center"/>
          </w:tcPr>
          <w:p>
            <w:r>
              <w:rPr>
                <w:sz w:val="16"/>
              </w:rPr>
              <w:t>Q² 0.516; retained original effect threshold</w:t>
            </w:r>
          </w:p>
        </w:tc>
      </w:tr>
      <w:tr>
        <w:trPr>
          <w:cantSplit/>
        </w:trPr>
        <w:tc>
          <w:tcPr>
            <w:tcW w:type="dxa" w:w="1569"/>
            <w:vAlign w:val="center"/>
          </w:tcPr>
          <w:p>
            <w:r>
              <w:rPr>
                <w:sz w:val="16"/>
              </w:rPr>
              <w:t>LUAD–Proliferation</w:t>
            </w:r>
          </w:p>
        </w:tc>
        <w:tc>
          <w:tcPr>
            <w:tcW w:type="dxa" w:w="1569"/>
            <w:vAlign w:val="center"/>
          </w:tcPr>
          <w:p>
            <w:r>
              <w:rPr>
                <w:sz w:val="16"/>
              </w:rPr>
              <w:t>continuous</w:t>
            </w:r>
          </w:p>
        </w:tc>
        <w:tc>
          <w:tcPr>
            <w:tcW w:type="dxa" w:w="1569"/>
            <w:vAlign w:val="center"/>
          </w:tcPr>
          <w:p>
            <w:r>
              <w:rPr>
                <w:sz w:val="16"/>
              </w:rPr>
              <w:t>0.524 (0.443–0.591)</w:t>
            </w:r>
          </w:p>
        </w:tc>
        <w:tc>
          <w:tcPr>
            <w:tcW w:type="dxa" w:w="1569"/>
            <w:vAlign w:val="center"/>
          </w:tcPr>
          <w:p>
            <w:r>
              <w:rPr>
                <w:sz w:val="16"/>
              </w:rPr>
              <w:t>0.450 (0.413–0.486)</w:t>
            </w:r>
          </w:p>
        </w:tc>
        <w:tc>
          <w:tcPr>
            <w:tcW w:type="dxa" w:w="1569"/>
            <w:vAlign w:val="center"/>
          </w:tcPr>
          <w:p>
            <w:r>
              <w:rPr>
                <w:sz w:val="16"/>
              </w:rPr>
              <w:t>0.729 (0.674–0.777)</w:t>
            </w:r>
          </w:p>
        </w:tc>
        <w:tc>
          <w:tcPr>
            <w:tcW w:type="dxa" w:w="1569"/>
            <w:vAlign w:val="center"/>
          </w:tcPr>
          <w:p>
            <w:r>
              <w:rPr>
                <w:sz w:val="16"/>
              </w:rPr>
              <w:t>Q² 0.490; retained original effect threshold</w:t>
            </w:r>
          </w:p>
        </w:tc>
      </w:tr>
      <w:tr>
        <w:trPr>
          <w:cantSplit/>
        </w:trPr>
        <w:tc>
          <w:tcPr>
            <w:tcW w:type="dxa" w:w="1569"/>
            <w:vAlign w:val="center"/>
          </w:tcPr>
          <w:p>
            <w:r>
              <w:rPr>
                <w:sz w:val="16"/>
              </w:rPr>
              <w:t>COAD–APC</w:t>
            </w:r>
          </w:p>
        </w:tc>
        <w:tc>
          <w:tcPr>
            <w:tcW w:type="dxa" w:w="1569"/>
            <w:vAlign w:val="center"/>
          </w:tcPr>
          <w:p>
            <w:r>
              <w:rPr>
                <w:sz w:val="16"/>
              </w:rPr>
              <w:t>binary</w:t>
            </w:r>
          </w:p>
        </w:tc>
        <w:tc>
          <w:tcPr>
            <w:tcW w:type="dxa" w:w="1569"/>
            <w:vAlign w:val="center"/>
          </w:tcPr>
          <w:p>
            <w:r>
              <w:rPr>
                <w:sz w:val="16"/>
              </w:rPr>
              <w:t>Se 0.883 (0.838–0.923); Sp 0.705 (0.642–0.765)</w:t>
            </w:r>
          </w:p>
        </w:tc>
        <w:tc>
          <w:tcPr>
            <w:tcW w:type="dxa" w:w="1569"/>
            <w:vAlign w:val="center"/>
          </w:tcPr>
          <w:p>
            <w:r>
              <w:rPr>
                <w:sz w:val="16"/>
              </w:rPr>
              <w:t>BA 0.794 (0.756–0.830)</w:t>
            </w:r>
          </w:p>
        </w:tc>
        <w:tc>
          <w:tcPr>
            <w:tcW w:type="dxa" w:w="1569"/>
            <w:vAlign w:val="center"/>
          </w:tcPr>
          <w:p>
            <w:r>
              <w:rPr>
                <w:sz w:val="16"/>
              </w:rPr>
              <w:t>AUROC 0.848 (0.805–0.885)</w:t>
            </w:r>
          </w:p>
        </w:tc>
        <w:tc>
          <w:tcPr>
            <w:tcW w:type="dxa" w:w="1569"/>
            <w:vAlign w:val="center"/>
          </w:tcPr>
          <w:p>
            <w:r>
              <w:rPr>
                <w:sz w:val="16"/>
              </w:rPr>
              <w:t>BA 0.543; WARNING: near chance or worse</w:t>
            </w:r>
          </w:p>
        </w:tc>
      </w:tr>
      <w:tr>
        <w:trPr>
          <w:cantSplit/>
        </w:trPr>
        <w:tc>
          <w:tcPr>
            <w:tcW w:type="dxa" w:w="1569"/>
            <w:vAlign w:val="center"/>
          </w:tcPr>
          <w:p>
            <w:r>
              <w:rPr>
                <w:sz w:val="16"/>
              </w:rPr>
              <w:t>COAD–TP53</w:t>
            </w:r>
          </w:p>
        </w:tc>
        <w:tc>
          <w:tcPr>
            <w:tcW w:type="dxa" w:w="1569"/>
            <w:vAlign w:val="center"/>
          </w:tcPr>
          <w:p>
            <w:r>
              <w:rPr>
                <w:sz w:val="16"/>
              </w:rPr>
              <w:t>binary</w:t>
            </w:r>
          </w:p>
        </w:tc>
        <w:tc>
          <w:tcPr>
            <w:tcW w:type="dxa" w:w="1569"/>
            <w:vAlign w:val="center"/>
          </w:tcPr>
          <w:p>
            <w:r>
              <w:rPr>
                <w:sz w:val="16"/>
              </w:rPr>
              <w:t>Se 0.779 (0.720–0.834); Sp 0.777 (0.723–0.827)</w:t>
            </w:r>
          </w:p>
        </w:tc>
        <w:tc>
          <w:tcPr>
            <w:tcW w:type="dxa" w:w="1569"/>
            <w:vAlign w:val="center"/>
          </w:tcPr>
          <w:p>
            <w:r>
              <w:rPr>
                <w:sz w:val="16"/>
              </w:rPr>
              <w:t>BA 0.778 (0.740–0.814)</w:t>
            </w:r>
          </w:p>
        </w:tc>
        <w:tc>
          <w:tcPr>
            <w:tcW w:type="dxa" w:w="1569"/>
            <w:vAlign w:val="center"/>
          </w:tcPr>
          <w:p>
            <w:r>
              <w:rPr>
                <w:sz w:val="16"/>
              </w:rPr>
              <w:t>AUROC 0.854 (0.815–0.889)</w:t>
            </w:r>
          </w:p>
        </w:tc>
        <w:tc>
          <w:tcPr>
            <w:tcW w:type="dxa" w:w="1569"/>
            <w:vAlign w:val="center"/>
          </w:tcPr>
          <w:p>
            <w:r>
              <w:rPr>
                <w:sz w:val="16"/>
              </w:rPr>
              <w:t>BA 0.648; retained original effect threshold</w:t>
            </w:r>
          </w:p>
        </w:tc>
      </w:tr>
      <w:tr>
        <w:trPr>
          <w:cantSplit/>
        </w:trPr>
        <w:tc>
          <w:tcPr>
            <w:tcW w:type="dxa" w:w="1569"/>
            <w:vAlign w:val="center"/>
          </w:tcPr>
          <w:p>
            <w:r>
              <w:rPr>
                <w:sz w:val="16"/>
              </w:rPr>
              <w:t>LGG–IDH1</w:t>
            </w:r>
          </w:p>
        </w:tc>
        <w:tc>
          <w:tcPr>
            <w:tcW w:type="dxa" w:w="1569"/>
            <w:vAlign w:val="center"/>
          </w:tcPr>
          <w:p>
            <w:r>
              <w:rPr>
                <w:sz w:val="16"/>
              </w:rPr>
              <w:t>binary</w:t>
            </w:r>
          </w:p>
        </w:tc>
        <w:tc>
          <w:tcPr>
            <w:tcW w:type="dxa" w:w="1569"/>
            <w:vAlign w:val="center"/>
          </w:tcPr>
          <w:p>
            <w:r>
              <w:rPr>
                <w:sz w:val="16"/>
              </w:rPr>
              <w:t>Se 0.940 (0.921–0.957); Sp 0.624 (0.540–0.702)</w:t>
            </w:r>
          </w:p>
        </w:tc>
        <w:tc>
          <w:tcPr>
            <w:tcW w:type="dxa" w:w="1569"/>
            <w:vAlign w:val="center"/>
          </w:tcPr>
          <w:p>
            <w:r>
              <w:rPr>
                <w:sz w:val="16"/>
              </w:rPr>
              <w:t>BA 0.782 (0.740–0.823)</w:t>
            </w:r>
          </w:p>
        </w:tc>
        <w:tc>
          <w:tcPr>
            <w:tcW w:type="dxa" w:w="1569"/>
            <w:vAlign w:val="center"/>
          </w:tcPr>
          <w:p>
            <w:r>
              <w:rPr>
                <w:sz w:val="16"/>
              </w:rPr>
              <w:t>AUROC 0.853 (0.807–0.898)</w:t>
            </w:r>
          </w:p>
        </w:tc>
        <w:tc>
          <w:tcPr>
            <w:tcW w:type="dxa" w:w="1569"/>
            <w:vAlign w:val="center"/>
          </w:tcPr>
          <w:p>
            <w:r>
              <w:rPr>
                <w:sz w:val="16"/>
              </w:rPr>
              <w:t>BA 0.793; retained original effect threshold</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BA 0.841; retained original effect threshold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AUROC difference was 0.004 (IQR -0.001 to 0.010); ridge had a paired-repeat interval above zero for 1 model, PLS for 0, and 11 AUROC differences were uncertain. With the same inner-CV balanced-accuracy threshold rule applied to both methods, the median ridge-minus-PLS balanced-accuracy difference was 0.005 (IQR 0.001 to 0.012); ridge had a paired interval above zero for 1 model, PLS for 0, and 11 were uncertain. For the 12 continuous models, the median ridge-minus-PLS Q² difference was 0.014 (IQR 0.007 to 0.017); ridge was favoured for 7, PLS for 2, and 3 were uncertain. The symmetric binary results do not support a general advantage for either algorithm; only THYM–GTF2I favoured ridge by the AUROC interval, whereas READ–APC favoured ridge by the thresholded balanced-accuracy interval. Because the benchmark was restricted to PLS-highlighted results, the prespecified atlas was retained and the comparison is reported as selection-conditioned sensitivity evidence rather than a basis for post-screen method switching.</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The corrected binary comparison removed the previous decision-rule asymmetry: both methods used identical outer and inner folds and selected operating thresholds from inner out-of-fold scores using the same balanced-accuracy criterion. Threshold-independent AUROC was primary for this method comparison. The median ridge-minus-PLS AUROC difference was 0.004, with one endpoint favouring ridge and 11 uncertain; the median balanced-accuracy difference under symmetric thresholding was 0.005, again with one favouring ridge and 11 uncertain. The continuous median Q² difference was 0.014. Both approaches yield compact exportable parameters, so portability is not unique to PLS. PLS remains the prespecified atlas method because the benchmark was performed only on PLS-highlighted models and switching methods after that selection would add another optimistic selection layer. Future external validation can compare locked PLS and ridge candidates prospectively.</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repeated nested-CV estimates and patient-cluster bootstrap intervals are also conditional on selecting endpoints in this same TCGA benchmark.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