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After correction of the binary decision-rule asymmetry described below, median ridge-minus-PLS differences were 0.014 Q² for continuous models and 0.004 AUROC for binary models; the corresponding symmetrically thresholded binary balanced-accuracy difference was 0.005. We therefore make no claim of uniform PLS superiority. Because the benchmark is conditional on PLS-based endpoint highlighting, the prespecified PLS atlas is retained rather than adding post-selection method switching. Ridge was selected as the baseline because its fitted coefficients are portable without retaining training embeddings; primary and secondary paired results are supplied in Table S10e and CSV.</w:t>
      </w:r>
    </w:p>
    <w:p>
      <w:pPr>
        <w:pStyle w:val="Heading1"/>
      </w:pPr>
      <w:r>
        <w:t>4. The binary modelling and ridge comparison use asymmetric decision rules</w:t>
      </w:r>
    </w:p>
    <w:p>
      <w:r>
        <w:t>Confirmed and corrected. The prespecified atlas continues to use the fitted PLS–LDA class rule with observed training-fold priors, but that rule is no longer compared against a ridge classifier given an optimised balanced-accuracy threshold. We reran all 12 highlighted binary comparisons across five repeats. PLS–LDA and ridge now receive identical outer folds and identical inner folds. Within each outer training set, each method's operating threshold is selected from its own inner out-of-fold continuous scores by the identical rule of maximising balanced accuracy; the outer test fold remains untouched. PLS component count and ridge penalty are also selected within the outer training data. Threshold-independent AUROC is now the primary binary algorithm-comparison metric, with symmetrically thresholded balanced accuracy reported as a secondary metric. The median ridge-minus-PLS AUROC difference was 0.004 (IQR -0.001 to 0.010); one endpoint favoured ridge and 11 were uncertain. The median balanced-accuracy difference was 0.005 (IQR 0.001 to 0.012); one endpoint favoured ridge and 11 were uncertain. The complete 60 repeat-level comparisons record the fold symmetry and threshold rule in results/tables/binary_symmetric_pls_ridge_repeated_nested_cv.csv. Methods, Results, Discussion and Supplementary Table S10e were revised, and the earlier asymmetric comparison is no longer interpreted.</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