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an exploratory benchmark.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Symmetric binary PLS–ridge comparison</w:t>
      </w:r>
    </w:p>
    <w:p>
      <w:pPr>
        <w:spacing w:after="120" w:line="264" w:lineRule="auto"/>
      </w:pPr>
      <w:r>
        <w:rPr>
          <w:rFonts w:ascii="Calibri" w:hAnsi="Calibri"/>
          <w:b w:val="0"/>
          <w:i w:val="0"/>
          <w:color w:val="000000"/>
          <w:sz w:val="22"/>
        </w:rPr>
        <w:t>The revised 12-model binary comparison removes the earlier operating-rule advantage given to ridge. PLS–LDA and ridge now use identical outer partitions and identical inner partitions. Within each outer training set, both operating thresholds are selected from method-specific inner out-of-fold scores by maximising balanced accuracy. Threshold-independent AUROC is the primary binary algorithm-comparison metric: the median ridge-minus-PLS difference is 0.004 (IQR -0.001 to 0.010); one endpoint favours ridge and 11 are uncertain. Under symmetric thresholding, the median balanced-accuracy difference is 0.005 (IQR 0.001 to 0.012); again one endpoint favours ridge and 11 are uncertain. The primary atlas appropriately retains its prespecified observed-prior PLS–LDA rule and is distinguished from this conditional method benchmark.</w:t>
      </w:r>
    </w:p>
    <w:p>
      <w:pPr>
        <w:spacing w:after="120" w:line="264" w:lineRule="auto"/>
      </w:pPr>
      <w:r>
        <w:rPr>
          <w:rFonts w:ascii="Calibri" w:hAnsi="Calibri"/>
          <w:b/>
          <w:i w:val="0"/>
          <w:color w:val="000000"/>
          <w:sz w:val="22"/>
        </w:rPr>
        <w:t>No additional algorithm-comparison correction is requested.</w:t>
      </w:r>
      <w:r>
        <w:rPr>
          <w:rFonts w:ascii="Calibri" w:hAnsi="Calibri"/>
          <w:b w:val="0"/>
          <w:i w:val="0"/>
          <w:color w:val="000000"/>
          <w:sz w:val="22"/>
        </w:rPr>
        <w:t xml:space="preserve"> Table S10e should retain both AUROC and the symmetrically thresholded balanced accuracy, and the manuscript should not interpret this selected 12-model subset as evidence of atlas-wide superiority for either method.</w:t>
      </w:r>
    </w:p>
    <w:p>
      <w:pPr>
        <w:pStyle w:val="Heading2"/>
        <w:keepNext/>
      </w:pPr>
      <w:r>
        <w:t>6.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7.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8.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