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CI)</w:t>
            </w:r>
          </w:p>
        </w:tc>
        <w:tc>
          <w:tcPr>
            <w:tcW w:type="dxa" w:w="1392"/>
          </w:tcPr>
          <w:p>
            <w:r>
              <w:rPr>
                <w:b/>
                <w:sz w:val="17"/>
              </w:rPr>
              <w:t>Sensitivity/specificity (95% CI)</w:t>
            </w:r>
          </w:p>
        </w:tc>
        <w:tc>
          <w:tcPr>
            <w:tcW w:type="dxa" w:w="1392"/>
          </w:tcPr>
          <w:p>
            <w:r>
              <w:rPr>
                <w:b/>
                <w:sz w:val="17"/>
              </w:rPr>
              <w:t>Other metrics (95% CI)</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w:t>
            </w:r>
          </w:p>
        </w:tc>
        <w:tc>
          <w:tcPr>
            <w:tcW w:type="dxa" w:w="1392"/>
            <w:vAlign w:val="center"/>
          </w:tcPr>
          <w:p>
            <w:r>
              <w:rPr>
                <w:sz w:val="16"/>
              </w:rPr>
              <w:t>balanced accuracy 0.543; site-sensitive: near chance or worse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w:t>
            </w:r>
          </w:p>
        </w:tc>
        <w:tc>
          <w:tcPr>
            <w:tcW w:type="dxa" w:w="1392"/>
            <w:vAlign w:val="center"/>
          </w:tcPr>
          <w:p>
            <w:r>
              <w:rPr>
                <w:sz w:val="16"/>
              </w:rPr>
              <w:t>balanced accuracy 0.648; retained original effect threshold</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w:t>
            </w:r>
          </w:p>
        </w:tc>
        <w:tc>
          <w:tcPr>
            <w:tcW w:type="dxa" w:w="1392"/>
            <w:vAlign w:val="center"/>
          </w:tcPr>
          <w:p>
            <w:r>
              <w:rPr>
                <w:sz w:val="16"/>
              </w:rPr>
              <w:t>balanced accuracy 0.793;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w:t>
            </w:r>
          </w:p>
        </w:tc>
        <w:tc>
          <w:tcPr>
            <w:tcW w:type="dxa" w:w="1392"/>
            <w:vAlign w:val="center"/>
          </w:tcPr>
          <w:p>
            <w:r>
              <w:rPr>
                <w:sz w:val="16"/>
              </w:rPr>
              <w:t>balanced accuracy 0.841; retained original effect threshold</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w:t>
            </w:r>
          </w:p>
        </w:tc>
        <w:tc>
          <w:tcPr>
            <w:tcW w:type="dxa" w:w="1392"/>
            <w:vAlign w:val="center"/>
          </w:tcPr>
          <w:p>
            <w:r>
              <w:rPr>
                <w:sz w:val="16"/>
              </w:rPr>
              <w:t>balanced accuracy 0.495; site-sensitive: near chance or worse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w:t>
            </w:r>
          </w:p>
        </w:tc>
        <w:tc>
          <w:tcPr>
            <w:tcW w:type="dxa" w:w="1392"/>
            <w:vAlign w:val="center"/>
          </w:tcPr>
          <w:p>
            <w:r>
              <w:rPr>
                <w:sz w:val="16"/>
              </w:rPr>
              <w:t>balanced accuracy 0.679; retained original effect threshold</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w:t>
            </w:r>
          </w:p>
        </w:tc>
        <w:tc>
          <w:tcPr>
            <w:tcW w:type="dxa" w:w="1392"/>
            <w:vAlign w:val="center"/>
          </w:tcPr>
          <w:p>
            <w:r>
              <w:rPr>
                <w:sz w:val="16"/>
              </w:rPr>
              <w:t>balanced accuracy 0.827; retained original effect threshold</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w:t>
            </w:r>
          </w:p>
        </w:tc>
        <w:tc>
          <w:tcPr>
            <w:tcW w:type="dxa" w:w="1392"/>
            <w:vAlign w:val="center"/>
          </w:tcPr>
          <w:p>
            <w:r>
              <w:rPr>
                <w:sz w:val="16"/>
              </w:rPr>
              <w:t>balanced accuracy 0.850; retained original effect threshold</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w:t>
            </w:r>
          </w:p>
        </w:tc>
        <w:tc>
          <w:tcPr>
            <w:tcW w:type="dxa" w:w="1392"/>
            <w:vAlign w:val="center"/>
          </w:tcPr>
          <w:p>
            <w:r>
              <w:rPr>
                <w:sz w:val="16"/>
              </w:rPr>
              <w:t>balanced accuracy 0.818; retained original effect threshold</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w:t>
            </w:r>
          </w:p>
        </w:tc>
        <w:tc>
          <w:tcPr>
            <w:tcW w:type="dxa" w:w="1392"/>
            <w:vAlign w:val="center"/>
          </w:tcPr>
          <w:p>
            <w:r>
              <w:rPr>
                <w:sz w:val="16"/>
              </w:rPr>
              <w:t>balanced accuracy 0.741; retained original effect threshold</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w:t>
            </w:r>
          </w:p>
        </w:tc>
        <w:tc>
          <w:tcPr>
            <w:tcW w:type="dxa" w:w="1392"/>
            <w:vAlign w:val="center"/>
          </w:tcPr>
          <w:p>
            <w:r>
              <w:rPr>
                <w:sz w:val="16"/>
              </w:rPr>
              <w:t>balanced accuracy 0.809;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w:t>
            </w:r>
          </w:p>
        </w:tc>
        <w:tc>
          <w:tcPr>
            <w:tcW w:type="dxa" w:w="1392"/>
            <w:vAlign w:val="center"/>
          </w:tcPr>
          <w:p>
            <w:r>
              <w:rPr>
                <w:sz w:val="16"/>
              </w:rPr>
              <w:t>balanced accuracy 0.819; retained original effect threshold</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Q2 0.498; retained original effect threshold</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Q2 0.508; retained original effect threshold</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Q2 0.516; retained original effect threshold</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Q2 0.490; retained original effect threshold</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Q2 0.479; retained original effect threshold</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Q2 0.596; retained original effect threshold</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Q2 0.359; retained original effect threshold</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Q2 0.544; retained original effect threshold</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Q2 0.466; retained original effect threshold</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Q2 0.533; retained original effect threshold</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Q2 0.417; retained original effect threshold</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Q2 0.572; retained original effect threshold</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24; delta: -0.250; status: site-sensitive: near chance or worse; inner site separation: TRUE;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24; delta: -0.131; status: retained original effect threshold; inner site separation: TRUE;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25; delta: 0.008;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25; delta: -0.005; status: retained original effect threshold; inner site separation: TRUE;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13; delta: -0.367; status: site-sensitive: near chance or worse; inner site separation: TRUE;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13; delta: -0.182; status: retained original effect threshold; inner site separation: TRUE;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22; delta: -0.003; status: retained original effect threshold; inner site separation: TRUE;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19; delta: -0.033; status: retained original effect threshold; inner site separation: TRUE;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28; delta: 0.026; status: retained original effect threshold; inner site separation: TRUE;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24; delta: -0.043; status: retained original effect threshold; inner site separation: TRUE;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25; delta: -0.001;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25; delta: -0.003; status: retained original effect threshold; inner site separation: TRUE;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39; delta: -0.012; status: retained original effect threshold; inner site separation: TRUE;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39; delta: -0.019; status: retained original effect threshold; inner site separation: TRUE;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31; delta: 0.001; status: retained original effect threshold; inner site separation: TRUE;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33; delta: -0.023; status: retained original effect threshold; inner site separation: TRUE;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33; delta: -0.041; status: retained original effect threshold; inner site separation: TRUE;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15; delta: -0.073; status: retained original effect threshold; inner site separation: TRUE;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15; delta: -0.144; status: retained original effect threshold; inner site separation: TRUE;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22; delta: -0.036; status: retained original effect threshold; inner site separation: TRUE;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22; delta: -0.034; status: retained original effect threshold; inner site separation: TRUE;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22; delta: 0.011; status: retained original effect threshold; inner site separation: TRUE;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22; delta: -0.086; status: retained original effect threshold; inner site separation: TRUE;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19; delta: -0.066; status: retained original effect threshold; inner site separation: TRUE;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PLS versus exportable ridge benchmark for highlighted models</w:t>
      </w:r>
    </w:p>
    <w:p>
      <w:r>
        <w:t>The benchmark is conditional on selection of PLS screen-positive highlighted models. Binary models used identical outer folds, identical inner folds and the same inner out-of-fold balanced-accuracy threshold-selection rule for PLS–LDA and ridge. Panel A reports the primary comparison (threshold-independent AUROC for binary models; Q² for continuous models). Panel B reports symmetrically thresholded balanced accuracy for binary models and Spearman correlation for continuous models. Positive differences favour ridge; intervals quantify five paired repeats and should be interpreted by magnitude rather than winner counts.</w:t>
      </w:r>
    </w:p>
    <w:p>
      <w:pPr>
        <w:pStyle w:val="Caption"/>
      </w:pPr>
      <w:r>
        <w:t>Panel A. Primary algorithm-comparison metric.</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0.937</w:t>
            </w:r>
          </w:p>
        </w:tc>
        <w:tc>
          <w:tcPr>
            <w:tcW w:type="dxa" w:w="975"/>
            <w:vAlign w:val="center"/>
          </w:tcPr>
          <w:p>
            <w:r>
              <w:rPr>
                <w:sz w:val="16"/>
              </w:rPr>
              <w:t>0.026</w:t>
            </w:r>
          </w:p>
        </w:tc>
        <w:tc>
          <w:tcPr>
            <w:tcW w:type="dxa" w:w="975"/>
            <w:vAlign w:val="center"/>
          </w:tcPr>
          <w:p>
            <w:r>
              <w:rPr>
                <w:sz w:val="16"/>
              </w:rPr>
              <w:t>0.007 to 0.044</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0.911</w:t>
            </w:r>
          </w:p>
        </w:tc>
        <w:tc>
          <w:tcPr>
            <w:tcW w:type="dxa" w:w="975"/>
            <w:vAlign w:val="center"/>
          </w:tcPr>
          <w:p>
            <w:r>
              <w:rPr>
                <w:sz w:val="16"/>
              </w:rPr>
              <w:t>0.000</w:t>
            </w:r>
          </w:p>
        </w:tc>
        <w:tc>
          <w:tcPr>
            <w:tcW w:type="dxa" w:w="975"/>
            <w:vAlign w:val="center"/>
          </w:tcPr>
          <w:p>
            <w:r>
              <w:rPr>
                <w:sz w:val="16"/>
              </w:rPr>
              <w:t>-0.017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0.905</w:t>
            </w:r>
          </w:p>
        </w:tc>
        <w:tc>
          <w:tcPr>
            <w:tcW w:type="dxa" w:w="975"/>
            <w:vAlign w:val="center"/>
          </w:tcPr>
          <w:p>
            <w:r>
              <w:rPr>
                <w:sz w:val="16"/>
              </w:rPr>
              <w:t>0.907</w:t>
            </w:r>
          </w:p>
        </w:tc>
        <w:tc>
          <w:tcPr>
            <w:tcW w:type="dxa" w:w="975"/>
            <w:vAlign w:val="center"/>
          </w:tcPr>
          <w:p>
            <w:r>
              <w:rPr>
                <w:sz w:val="16"/>
              </w:rPr>
              <w:t>0.002</w:t>
            </w:r>
          </w:p>
        </w:tc>
        <w:tc>
          <w:tcPr>
            <w:tcW w:type="dxa" w:w="975"/>
            <w:vAlign w:val="center"/>
          </w:tcPr>
          <w:p>
            <w:r>
              <w:rPr>
                <w:sz w:val="16"/>
              </w:rPr>
              <w:t>-0.003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0.899</w:t>
            </w:r>
          </w:p>
        </w:tc>
        <w:tc>
          <w:tcPr>
            <w:tcW w:type="dxa" w:w="975"/>
            <w:vAlign w:val="center"/>
          </w:tcPr>
          <w:p>
            <w:r>
              <w:rPr>
                <w:sz w:val="16"/>
              </w:rPr>
              <w:t>0.918</w:t>
            </w:r>
          </w:p>
        </w:tc>
        <w:tc>
          <w:tcPr>
            <w:tcW w:type="dxa" w:w="975"/>
            <w:vAlign w:val="center"/>
          </w:tcPr>
          <w:p>
            <w:r>
              <w:rPr>
                <w:sz w:val="16"/>
              </w:rPr>
              <w:t>0.018</w:t>
            </w:r>
          </w:p>
        </w:tc>
        <w:tc>
          <w:tcPr>
            <w:tcW w:type="dxa" w:w="975"/>
            <w:vAlign w:val="center"/>
          </w:tcPr>
          <w:p>
            <w:r>
              <w:rPr>
                <w:sz w:val="16"/>
              </w:rPr>
              <w:t>-0.041 to 0.078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AUROC</w:t>
            </w:r>
          </w:p>
        </w:tc>
        <w:tc>
          <w:tcPr>
            <w:tcW w:type="dxa" w:w="975"/>
            <w:vAlign w:val="center"/>
          </w:tcPr>
          <w:p>
            <w:r>
              <w:rPr>
                <w:sz w:val="16"/>
              </w:rPr>
              <w:t>0.893</w:t>
            </w:r>
          </w:p>
        </w:tc>
        <w:tc>
          <w:tcPr>
            <w:tcW w:type="dxa" w:w="975"/>
            <w:vAlign w:val="center"/>
          </w:tcPr>
          <w:p>
            <w:r>
              <w:rPr>
                <w:sz w:val="16"/>
              </w:rPr>
              <w:t>0.892</w:t>
            </w:r>
          </w:p>
        </w:tc>
        <w:tc>
          <w:tcPr>
            <w:tcW w:type="dxa" w:w="975"/>
            <w:vAlign w:val="center"/>
          </w:tcPr>
          <w:p>
            <w:r>
              <w:rPr>
                <w:sz w:val="16"/>
              </w:rPr>
              <w:t>-0.001</w:t>
            </w:r>
          </w:p>
        </w:tc>
        <w:tc>
          <w:tcPr>
            <w:tcW w:type="dxa" w:w="975"/>
            <w:vAlign w:val="center"/>
          </w:tcPr>
          <w:p>
            <w:r>
              <w:rPr>
                <w:sz w:val="16"/>
              </w:rPr>
              <w:t>-0.008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AUROC</w:t>
            </w:r>
          </w:p>
        </w:tc>
        <w:tc>
          <w:tcPr>
            <w:tcW w:type="dxa" w:w="975"/>
            <w:vAlign w:val="center"/>
          </w:tcPr>
          <w:p>
            <w:r>
              <w:rPr>
                <w:sz w:val="16"/>
              </w:rPr>
              <w:t>0.892</w:t>
            </w:r>
          </w:p>
        </w:tc>
        <w:tc>
          <w:tcPr>
            <w:tcW w:type="dxa" w:w="975"/>
            <w:vAlign w:val="center"/>
          </w:tcPr>
          <w:p>
            <w:r>
              <w:rPr>
                <w:sz w:val="16"/>
              </w:rPr>
              <w:t>0.899</w:t>
            </w:r>
          </w:p>
        </w:tc>
        <w:tc>
          <w:tcPr>
            <w:tcW w:type="dxa" w:w="975"/>
            <w:vAlign w:val="center"/>
          </w:tcPr>
          <w:p>
            <w:r>
              <w:rPr>
                <w:sz w:val="16"/>
              </w:rPr>
              <w:t>0.007</w:t>
            </w:r>
          </w:p>
        </w:tc>
        <w:tc>
          <w:tcPr>
            <w:tcW w:type="dxa" w:w="975"/>
            <w:vAlign w:val="center"/>
          </w:tcPr>
          <w:p>
            <w:r>
              <w:rPr>
                <w:sz w:val="16"/>
              </w:rPr>
              <w:t>-0.008 to 0.022</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0.883</w:t>
            </w:r>
          </w:p>
        </w:tc>
        <w:tc>
          <w:tcPr>
            <w:tcW w:type="dxa" w:w="975"/>
            <w:vAlign w:val="center"/>
          </w:tcPr>
          <w:p>
            <w:r>
              <w:rPr>
                <w:sz w:val="16"/>
              </w:rPr>
              <w:t>0.890</w:t>
            </w:r>
          </w:p>
        </w:tc>
        <w:tc>
          <w:tcPr>
            <w:tcW w:type="dxa" w:w="975"/>
            <w:vAlign w:val="center"/>
          </w:tcPr>
          <w:p>
            <w:r>
              <w:rPr>
                <w:sz w:val="16"/>
              </w:rPr>
              <w:t>0.007</w:t>
            </w:r>
          </w:p>
        </w:tc>
        <w:tc>
          <w:tcPr>
            <w:tcW w:type="dxa" w:w="975"/>
            <w:vAlign w:val="center"/>
          </w:tcPr>
          <w:p>
            <w:r>
              <w:rPr>
                <w:sz w:val="16"/>
              </w:rPr>
              <w:t>-0.000 to 0.014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0.881</w:t>
            </w:r>
          </w:p>
        </w:tc>
        <w:tc>
          <w:tcPr>
            <w:tcW w:type="dxa" w:w="975"/>
            <w:vAlign w:val="center"/>
          </w:tcPr>
          <w:p>
            <w:r>
              <w:rPr>
                <w:sz w:val="16"/>
              </w:rPr>
              <w:t>0.894</w:t>
            </w:r>
          </w:p>
        </w:tc>
        <w:tc>
          <w:tcPr>
            <w:tcW w:type="dxa" w:w="975"/>
            <w:vAlign w:val="center"/>
          </w:tcPr>
          <w:p>
            <w:r>
              <w:rPr>
                <w:sz w:val="16"/>
              </w:rPr>
              <w:t>0.013</w:t>
            </w:r>
          </w:p>
        </w:tc>
        <w:tc>
          <w:tcPr>
            <w:tcW w:type="dxa" w:w="975"/>
            <w:vAlign w:val="center"/>
          </w:tcPr>
          <w:p>
            <w:r>
              <w:rPr>
                <w:sz w:val="16"/>
              </w:rPr>
              <w:t>-0.023 to 0.049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0.854</w:t>
            </w:r>
          </w:p>
        </w:tc>
        <w:tc>
          <w:tcPr>
            <w:tcW w:type="dxa" w:w="975"/>
            <w:vAlign w:val="center"/>
          </w:tcPr>
          <w:p>
            <w:r>
              <w:rPr>
                <w:sz w:val="16"/>
              </w:rPr>
              <w:t>0.863</w:t>
            </w:r>
          </w:p>
        </w:tc>
        <w:tc>
          <w:tcPr>
            <w:tcW w:type="dxa" w:w="975"/>
            <w:vAlign w:val="center"/>
          </w:tcPr>
          <w:p>
            <w:r>
              <w:rPr>
                <w:sz w:val="16"/>
              </w:rPr>
              <w:t>0.008</w:t>
            </w:r>
          </w:p>
        </w:tc>
        <w:tc>
          <w:tcPr>
            <w:tcW w:type="dxa" w:w="975"/>
            <w:vAlign w:val="center"/>
          </w:tcPr>
          <w:p>
            <w:r>
              <w:rPr>
                <w:sz w:val="16"/>
              </w:rPr>
              <w:t>-0.004 to 0.021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0.852</w:t>
            </w:r>
          </w:p>
        </w:tc>
        <w:tc>
          <w:tcPr>
            <w:tcW w:type="dxa" w:w="975"/>
            <w:vAlign w:val="center"/>
          </w:tcPr>
          <w:p>
            <w:r>
              <w:rPr>
                <w:sz w:val="16"/>
              </w:rPr>
              <w:t>0.849</w:t>
            </w:r>
          </w:p>
        </w:tc>
        <w:tc>
          <w:tcPr>
            <w:tcW w:type="dxa" w:w="975"/>
            <w:vAlign w:val="center"/>
          </w:tcPr>
          <w:p>
            <w:r>
              <w:rPr>
                <w:sz w:val="16"/>
              </w:rPr>
              <w:t>-0.003</w:t>
            </w:r>
          </w:p>
        </w:tc>
        <w:tc>
          <w:tcPr>
            <w:tcW w:type="dxa" w:w="975"/>
            <w:vAlign w:val="center"/>
          </w:tcPr>
          <w:p>
            <w:r>
              <w:rPr>
                <w:sz w:val="16"/>
              </w:rPr>
              <w:t>-0.014 to 0.008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AUROC</w:t>
            </w:r>
          </w:p>
        </w:tc>
        <w:tc>
          <w:tcPr>
            <w:tcW w:type="dxa" w:w="975"/>
            <w:vAlign w:val="center"/>
          </w:tcPr>
          <w:p>
            <w:r>
              <w:rPr>
                <w:sz w:val="16"/>
              </w:rPr>
              <w:t>0.848</w:t>
            </w:r>
          </w:p>
        </w:tc>
        <w:tc>
          <w:tcPr>
            <w:tcW w:type="dxa" w:w="975"/>
            <w:vAlign w:val="center"/>
          </w:tcPr>
          <w:p>
            <w:r>
              <w:rPr>
                <w:sz w:val="16"/>
              </w:rPr>
              <w:t>0.841</w:t>
            </w:r>
          </w:p>
        </w:tc>
        <w:tc>
          <w:tcPr>
            <w:tcW w:type="dxa" w:w="975"/>
            <w:vAlign w:val="center"/>
          </w:tcPr>
          <w:p>
            <w:r>
              <w:rPr>
                <w:sz w:val="16"/>
              </w:rPr>
              <w:t>-0.007</w:t>
            </w:r>
          </w:p>
        </w:tc>
        <w:tc>
          <w:tcPr>
            <w:tcW w:type="dxa" w:w="975"/>
            <w:vAlign w:val="center"/>
          </w:tcPr>
          <w:p>
            <w:r>
              <w:rPr>
                <w:sz w:val="16"/>
              </w:rPr>
              <w:t>-0.033 to 0.019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AUROC</w:t>
            </w:r>
          </w:p>
        </w:tc>
        <w:tc>
          <w:tcPr>
            <w:tcW w:type="dxa" w:w="975"/>
            <w:vAlign w:val="center"/>
          </w:tcPr>
          <w:p>
            <w:r>
              <w:rPr>
                <w:sz w:val="16"/>
              </w:rPr>
              <w:t>0.846</w:t>
            </w:r>
          </w:p>
        </w:tc>
        <w:tc>
          <w:tcPr>
            <w:tcW w:type="dxa" w:w="975"/>
            <w:vAlign w:val="center"/>
          </w:tcPr>
          <w:p>
            <w:r>
              <w:rPr>
                <w:sz w:val="16"/>
              </w:rPr>
              <w:t>0.844</w:t>
            </w:r>
          </w:p>
        </w:tc>
        <w:tc>
          <w:tcPr>
            <w:tcW w:type="dxa" w:w="975"/>
            <w:vAlign w:val="center"/>
          </w:tcPr>
          <w:p>
            <w:r>
              <w:rPr>
                <w:sz w:val="16"/>
              </w:rPr>
              <w:t>-0.002</w:t>
            </w:r>
          </w:p>
        </w:tc>
        <w:tc>
          <w:tcPr>
            <w:tcW w:type="dxa" w:w="975"/>
            <w:vAlign w:val="center"/>
          </w:tcPr>
          <w:p>
            <w:r>
              <w:rPr>
                <w:sz w:val="16"/>
              </w:rPr>
              <w:t>-0.015 to 0.011</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Q²</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Q²</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Q²</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Caption"/>
      </w:pPr>
      <w:r>
        <w:t>Panel B. Secondary metric; binary balanced accuracy uses inner-CV operating thresholds selected identically for both methods.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w:t>
            </w:r>
          </w:p>
        </w:tc>
        <w:tc>
          <w:tcPr>
            <w:tcW w:type="dxa" w:w="975"/>
            <w:vAlign w:val="center"/>
          </w:tcPr>
          <w:p>
            <w:r>
              <w:rPr>
                <w:sz w:val="16"/>
              </w:rPr>
              <w:t>0.855</w:t>
            </w:r>
          </w:p>
        </w:tc>
        <w:tc>
          <w:tcPr>
            <w:tcW w:type="dxa" w:w="975"/>
            <w:vAlign w:val="center"/>
          </w:tcPr>
          <w:p>
            <w:r>
              <w:rPr>
                <w:sz w:val="16"/>
              </w:rPr>
              <w:t>0.871</w:t>
            </w:r>
          </w:p>
        </w:tc>
        <w:tc>
          <w:tcPr>
            <w:tcW w:type="dxa" w:w="975"/>
            <w:vAlign w:val="center"/>
          </w:tcPr>
          <w:p>
            <w:r>
              <w:rPr>
                <w:sz w:val="16"/>
              </w:rPr>
              <w:t>0.016</w:t>
            </w:r>
          </w:p>
        </w:tc>
        <w:tc>
          <w:tcPr>
            <w:tcW w:type="dxa" w:w="975"/>
            <w:vAlign w:val="center"/>
          </w:tcPr>
          <w:p>
            <w:r>
              <w:rPr>
                <w:sz w:val="16"/>
              </w:rPr>
              <w:t>-0.000 to 0.033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w:t>
            </w:r>
          </w:p>
        </w:tc>
        <w:tc>
          <w:tcPr>
            <w:tcW w:type="dxa" w:w="975"/>
            <w:vAlign w:val="center"/>
          </w:tcPr>
          <w:p>
            <w:r>
              <w:rPr>
                <w:sz w:val="16"/>
              </w:rPr>
              <w:t>0.813</w:t>
            </w:r>
          </w:p>
        </w:tc>
        <w:tc>
          <w:tcPr>
            <w:tcW w:type="dxa" w:w="975"/>
            <w:vAlign w:val="center"/>
          </w:tcPr>
          <w:p>
            <w:r>
              <w:rPr>
                <w:sz w:val="16"/>
              </w:rPr>
              <w:t>0.830</w:t>
            </w:r>
          </w:p>
        </w:tc>
        <w:tc>
          <w:tcPr>
            <w:tcW w:type="dxa" w:w="975"/>
            <w:vAlign w:val="center"/>
          </w:tcPr>
          <w:p>
            <w:r>
              <w:rPr>
                <w:sz w:val="16"/>
              </w:rPr>
              <w:t>0.017</w:t>
            </w:r>
          </w:p>
        </w:tc>
        <w:tc>
          <w:tcPr>
            <w:tcW w:type="dxa" w:w="975"/>
            <w:vAlign w:val="center"/>
          </w:tcPr>
          <w:p>
            <w:r>
              <w:rPr>
                <w:sz w:val="16"/>
              </w:rPr>
              <w:t>-0.006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0.856</w:t>
            </w:r>
          </w:p>
        </w:tc>
        <w:tc>
          <w:tcPr>
            <w:tcW w:type="dxa" w:w="975"/>
            <w:vAlign w:val="center"/>
          </w:tcPr>
          <w:p>
            <w:r>
              <w:rPr>
                <w:sz w:val="16"/>
              </w:rPr>
              <w:t>0.855</w:t>
            </w:r>
          </w:p>
        </w:tc>
        <w:tc>
          <w:tcPr>
            <w:tcW w:type="dxa" w:w="975"/>
            <w:vAlign w:val="center"/>
          </w:tcPr>
          <w:p>
            <w:r>
              <w:rPr>
                <w:sz w:val="16"/>
              </w:rPr>
              <w:t>-0.001</w:t>
            </w:r>
          </w:p>
        </w:tc>
        <w:tc>
          <w:tcPr>
            <w:tcW w:type="dxa" w:w="975"/>
            <w:vAlign w:val="center"/>
          </w:tcPr>
          <w:p>
            <w:r>
              <w:rPr>
                <w:sz w:val="16"/>
              </w:rPr>
              <w:t>-0.019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0.858</w:t>
            </w:r>
          </w:p>
        </w:tc>
        <w:tc>
          <w:tcPr>
            <w:tcW w:type="dxa" w:w="975"/>
            <w:vAlign w:val="center"/>
          </w:tcPr>
          <w:p>
            <w:r>
              <w:rPr>
                <w:sz w:val="16"/>
              </w:rPr>
              <w:t>0.861</w:t>
            </w:r>
          </w:p>
        </w:tc>
        <w:tc>
          <w:tcPr>
            <w:tcW w:type="dxa" w:w="975"/>
            <w:vAlign w:val="center"/>
          </w:tcPr>
          <w:p>
            <w:r>
              <w:rPr>
                <w:sz w:val="16"/>
              </w:rPr>
              <w:t>0.003</w:t>
            </w:r>
          </w:p>
        </w:tc>
        <w:tc>
          <w:tcPr>
            <w:tcW w:type="dxa" w:w="975"/>
            <w:vAlign w:val="center"/>
          </w:tcPr>
          <w:p>
            <w:r>
              <w:rPr>
                <w:sz w:val="16"/>
              </w:rPr>
              <w:t>-0.031 to 0.037</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w:t>
            </w:r>
          </w:p>
        </w:tc>
        <w:tc>
          <w:tcPr>
            <w:tcW w:type="dxa" w:w="975"/>
            <w:vAlign w:val="center"/>
          </w:tcPr>
          <w:p>
            <w:r>
              <w:rPr>
                <w:sz w:val="16"/>
              </w:rPr>
              <w:t>0.843</w:t>
            </w:r>
          </w:p>
        </w:tc>
        <w:tc>
          <w:tcPr>
            <w:tcW w:type="dxa" w:w="975"/>
            <w:vAlign w:val="center"/>
          </w:tcPr>
          <w:p>
            <w:r>
              <w:rPr>
                <w:sz w:val="16"/>
              </w:rPr>
              <w:t>0.827</w:t>
            </w:r>
          </w:p>
        </w:tc>
        <w:tc>
          <w:tcPr>
            <w:tcW w:type="dxa" w:w="975"/>
            <w:vAlign w:val="center"/>
          </w:tcPr>
          <w:p>
            <w:r>
              <w:rPr>
                <w:sz w:val="16"/>
              </w:rPr>
              <w:t>-0.017</w:t>
            </w:r>
          </w:p>
        </w:tc>
        <w:tc>
          <w:tcPr>
            <w:tcW w:type="dxa" w:w="975"/>
            <w:vAlign w:val="center"/>
          </w:tcPr>
          <w:p>
            <w:r>
              <w:rPr>
                <w:sz w:val="16"/>
              </w:rPr>
              <w:t>-0.034 to 0.001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w:t>
            </w:r>
          </w:p>
        </w:tc>
        <w:tc>
          <w:tcPr>
            <w:tcW w:type="dxa" w:w="975"/>
            <w:vAlign w:val="center"/>
          </w:tcPr>
          <w:p>
            <w:r>
              <w:rPr>
                <w:sz w:val="16"/>
              </w:rPr>
              <w:t>0.829</w:t>
            </w:r>
          </w:p>
        </w:tc>
        <w:tc>
          <w:tcPr>
            <w:tcW w:type="dxa" w:w="975"/>
            <w:vAlign w:val="center"/>
          </w:tcPr>
          <w:p>
            <w:r>
              <w:rPr>
                <w:sz w:val="16"/>
              </w:rPr>
              <w:t>0.829</w:t>
            </w:r>
          </w:p>
        </w:tc>
        <w:tc>
          <w:tcPr>
            <w:tcW w:type="dxa" w:w="975"/>
            <w:vAlign w:val="center"/>
          </w:tcPr>
          <w:p>
            <w:r>
              <w:rPr>
                <w:sz w:val="16"/>
              </w:rPr>
              <w:t>0.001</w:t>
            </w:r>
          </w:p>
        </w:tc>
        <w:tc>
          <w:tcPr>
            <w:tcW w:type="dxa" w:w="975"/>
            <w:vAlign w:val="center"/>
          </w:tcPr>
          <w:p>
            <w:r>
              <w:rPr>
                <w:sz w:val="16"/>
              </w:rPr>
              <w:t>-0.014 to 0.015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0.826</w:t>
            </w:r>
          </w:p>
        </w:tc>
        <w:tc>
          <w:tcPr>
            <w:tcW w:type="dxa" w:w="975"/>
            <w:vAlign w:val="center"/>
          </w:tcPr>
          <w:p>
            <w:r>
              <w:rPr>
                <w:sz w:val="16"/>
              </w:rPr>
              <w:t>0.835</w:t>
            </w:r>
          </w:p>
        </w:tc>
        <w:tc>
          <w:tcPr>
            <w:tcW w:type="dxa" w:w="975"/>
            <w:vAlign w:val="center"/>
          </w:tcPr>
          <w:p>
            <w:r>
              <w:rPr>
                <w:sz w:val="16"/>
              </w:rPr>
              <w:t>0.010</w:t>
            </w:r>
          </w:p>
        </w:tc>
        <w:tc>
          <w:tcPr>
            <w:tcW w:type="dxa" w:w="975"/>
            <w:vAlign w:val="center"/>
          </w:tcPr>
          <w:p>
            <w:r>
              <w:rPr>
                <w:sz w:val="16"/>
              </w:rPr>
              <w:t>-0.004 to 0.023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0.846</w:t>
            </w:r>
          </w:p>
        </w:tc>
        <w:tc>
          <w:tcPr>
            <w:tcW w:type="dxa" w:w="975"/>
            <w:vAlign w:val="center"/>
          </w:tcPr>
          <w:p>
            <w:r>
              <w:rPr>
                <w:sz w:val="16"/>
              </w:rPr>
              <w:t>0.862</w:t>
            </w:r>
          </w:p>
        </w:tc>
        <w:tc>
          <w:tcPr>
            <w:tcW w:type="dxa" w:w="975"/>
            <w:vAlign w:val="center"/>
          </w:tcPr>
          <w:p>
            <w:r>
              <w:rPr>
                <w:sz w:val="16"/>
              </w:rPr>
              <w:t>0.016</w:t>
            </w:r>
          </w:p>
        </w:tc>
        <w:tc>
          <w:tcPr>
            <w:tcW w:type="dxa" w:w="975"/>
            <w:vAlign w:val="center"/>
          </w:tcPr>
          <w:p>
            <w:r>
              <w:rPr>
                <w:sz w:val="16"/>
              </w:rPr>
              <w:t>0.005 to 0.027</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0.779</w:t>
            </w:r>
          </w:p>
        </w:tc>
        <w:tc>
          <w:tcPr>
            <w:tcW w:type="dxa" w:w="975"/>
            <w:vAlign w:val="center"/>
          </w:tcPr>
          <w:p>
            <w:r>
              <w:rPr>
                <w:sz w:val="16"/>
              </w:rPr>
              <w:t>0.003</w:t>
            </w:r>
          </w:p>
        </w:tc>
        <w:tc>
          <w:tcPr>
            <w:tcW w:type="dxa" w:w="975"/>
            <w:vAlign w:val="center"/>
          </w:tcPr>
          <w:p>
            <w:r>
              <w:rPr>
                <w:sz w:val="16"/>
              </w:rPr>
              <w:t>-0.013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0.789</w:t>
            </w:r>
          </w:p>
        </w:tc>
        <w:tc>
          <w:tcPr>
            <w:tcW w:type="dxa" w:w="975"/>
            <w:vAlign w:val="center"/>
          </w:tcPr>
          <w:p>
            <w:r>
              <w:rPr>
                <w:sz w:val="16"/>
              </w:rPr>
              <w:t>0.789</w:t>
            </w:r>
          </w:p>
        </w:tc>
        <w:tc>
          <w:tcPr>
            <w:tcW w:type="dxa" w:w="975"/>
            <w:vAlign w:val="center"/>
          </w:tcPr>
          <w:p>
            <w:r>
              <w:rPr>
                <w:sz w:val="16"/>
              </w:rPr>
              <w:t>0.000</w:t>
            </w:r>
          </w:p>
        </w:tc>
        <w:tc>
          <w:tcPr>
            <w:tcW w:type="dxa" w:w="975"/>
            <w:vAlign w:val="center"/>
          </w:tcPr>
          <w:p>
            <w:r>
              <w:rPr>
                <w:sz w:val="16"/>
              </w:rPr>
              <w:t>-0.004 to 0.005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w:t>
            </w:r>
          </w:p>
        </w:tc>
        <w:tc>
          <w:tcPr>
            <w:tcW w:type="dxa" w:w="975"/>
            <w:vAlign w:val="center"/>
          </w:tcPr>
          <w:p>
            <w:r>
              <w:rPr>
                <w:sz w:val="16"/>
              </w:rPr>
              <w:t>0.779</w:t>
            </w:r>
          </w:p>
        </w:tc>
        <w:tc>
          <w:tcPr>
            <w:tcW w:type="dxa" w:w="975"/>
            <w:vAlign w:val="center"/>
          </w:tcPr>
          <w:p>
            <w:r>
              <w:rPr>
                <w:sz w:val="16"/>
              </w:rPr>
              <w:t>0.789</w:t>
            </w:r>
          </w:p>
        </w:tc>
        <w:tc>
          <w:tcPr>
            <w:tcW w:type="dxa" w:w="975"/>
            <w:vAlign w:val="center"/>
          </w:tcPr>
          <w:p>
            <w:r>
              <w:rPr>
                <w:sz w:val="16"/>
              </w:rPr>
              <w:t>0.010</w:t>
            </w:r>
          </w:p>
        </w:tc>
        <w:tc>
          <w:tcPr>
            <w:tcW w:type="dxa" w:w="975"/>
            <w:vAlign w:val="center"/>
          </w:tcPr>
          <w:p>
            <w:r>
              <w:rPr>
                <w:sz w:val="16"/>
              </w:rPr>
              <w:t>-0.019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0.785</w:t>
            </w:r>
          </w:p>
        </w:tc>
        <w:tc>
          <w:tcPr>
            <w:tcW w:type="dxa" w:w="975"/>
            <w:vAlign w:val="center"/>
          </w:tcPr>
          <w:p>
            <w:r>
              <w:rPr>
                <w:sz w:val="16"/>
              </w:rPr>
              <w:t>0.008</w:t>
            </w:r>
          </w:p>
        </w:tc>
        <w:tc>
          <w:tcPr>
            <w:tcW w:type="dxa" w:w="975"/>
            <w:vAlign w:val="center"/>
          </w:tcPr>
          <w:p>
            <w:r>
              <w:rPr>
                <w:sz w:val="16"/>
              </w:rPr>
              <w:t>-0.008 to 0.024</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0.791</w:t>
            </w:r>
          </w:p>
        </w:tc>
        <w:tc>
          <w:tcPr>
            <w:tcW w:type="dxa" w:w="975"/>
            <w:vAlign w:val="center"/>
          </w:tcPr>
          <w:p>
            <w:r>
              <w:rPr>
                <w:sz w:val="16"/>
              </w:rPr>
              <w:t>0.807</w:t>
            </w:r>
          </w:p>
        </w:tc>
        <w:tc>
          <w:tcPr>
            <w:tcW w:type="dxa" w:w="975"/>
            <w:vAlign w:val="center"/>
          </w:tcPr>
          <w:p>
            <w:r>
              <w:rPr>
                <w:sz w:val="16"/>
              </w:rPr>
              <w:t>0.016</w:t>
            </w:r>
          </w:p>
        </w:tc>
        <w:tc>
          <w:tcPr>
            <w:tcW w:type="dxa" w:w="975"/>
            <w:vAlign w:val="center"/>
          </w:tcPr>
          <w:p>
            <w:r>
              <w:rPr>
                <w:sz w:val="16"/>
              </w:rPr>
              <w:t>0.007 to 0.024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Spearman</w:t>
            </w:r>
          </w:p>
        </w:tc>
        <w:tc>
          <w:tcPr>
            <w:tcW w:type="dxa" w:w="975"/>
            <w:vAlign w:val="center"/>
          </w:tcPr>
          <w:p>
            <w:r>
              <w:rPr>
                <w:sz w:val="16"/>
              </w:rPr>
              <w:t>0.738</w:t>
            </w:r>
          </w:p>
        </w:tc>
        <w:tc>
          <w:tcPr>
            <w:tcW w:type="dxa" w:w="975"/>
            <w:vAlign w:val="center"/>
          </w:tcPr>
          <w:p>
            <w:r>
              <w:rPr>
                <w:sz w:val="16"/>
              </w:rPr>
              <w:t>0.767</w:t>
            </w:r>
          </w:p>
        </w:tc>
        <w:tc>
          <w:tcPr>
            <w:tcW w:type="dxa" w:w="975"/>
            <w:vAlign w:val="center"/>
          </w:tcPr>
          <w:p>
            <w:r>
              <w:rPr>
                <w:sz w:val="16"/>
              </w:rPr>
              <w:t>0.029</w:t>
            </w:r>
          </w:p>
        </w:tc>
        <w:tc>
          <w:tcPr>
            <w:tcW w:type="dxa" w:w="975"/>
            <w:vAlign w:val="center"/>
          </w:tcPr>
          <w:p>
            <w:r>
              <w:rPr>
                <w:sz w:val="16"/>
              </w:rPr>
              <w:t>0.022 to 0.037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Spearman</w:t>
            </w:r>
          </w:p>
        </w:tc>
        <w:tc>
          <w:tcPr>
            <w:tcW w:type="dxa" w:w="975"/>
            <w:vAlign w:val="center"/>
          </w:tcPr>
          <w:p>
            <w:r>
              <w:rPr>
                <w:sz w:val="16"/>
              </w:rPr>
              <w:t>0.742</w:t>
            </w:r>
          </w:p>
        </w:tc>
        <w:tc>
          <w:tcPr>
            <w:tcW w:type="dxa" w:w="975"/>
            <w:vAlign w:val="center"/>
          </w:tcPr>
          <w:p>
            <w:r>
              <w:rPr>
                <w:sz w:val="16"/>
              </w:rPr>
              <w:t>0.743</w:t>
            </w:r>
          </w:p>
        </w:tc>
        <w:tc>
          <w:tcPr>
            <w:tcW w:type="dxa" w:w="975"/>
            <w:vAlign w:val="center"/>
          </w:tcPr>
          <w:p>
            <w:r>
              <w:rPr>
                <w:sz w:val="16"/>
              </w:rPr>
              <w:t>0.002</w:t>
            </w:r>
          </w:p>
        </w:tc>
        <w:tc>
          <w:tcPr>
            <w:tcW w:type="dxa" w:w="975"/>
            <w:vAlign w:val="center"/>
          </w:tcPr>
          <w:p>
            <w:r>
              <w:rPr>
                <w:sz w:val="16"/>
              </w:rPr>
              <w:t>-0.000 to 0.003</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0.724</w:t>
            </w:r>
          </w:p>
        </w:tc>
        <w:tc>
          <w:tcPr>
            <w:tcW w:type="dxa" w:w="975"/>
            <w:vAlign w:val="center"/>
          </w:tcPr>
          <w:p>
            <w:r>
              <w:rPr>
                <w:sz w:val="16"/>
              </w:rPr>
              <w:t>0.733</w:t>
            </w:r>
          </w:p>
        </w:tc>
        <w:tc>
          <w:tcPr>
            <w:tcW w:type="dxa" w:w="975"/>
            <w:vAlign w:val="center"/>
          </w:tcPr>
          <w:p>
            <w:r>
              <w:rPr>
                <w:sz w:val="16"/>
              </w:rPr>
              <w:t>0.009</w:t>
            </w:r>
          </w:p>
        </w:tc>
        <w:tc>
          <w:tcPr>
            <w:tcW w:type="dxa" w:w="975"/>
            <w:vAlign w:val="center"/>
          </w:tcPr>
          <w:p>
            <w:r>
              <w:rPr>
                <w:sz w:val="16"/>
              </w:rPr>
              <w:t>0.003 to 0.015</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0.707</w:t>
            </w:r>
          </w:p>
        </w:tc>
        <w:tc>
          <w:tcPr>
            <w:tcW w:type="dxa" w:w="975"/>
            <w:vAlign w:val="center"/>
          </w:tcPr>
          <w:p>
            <w:r>
              <w:rPr>
                <w:sz w:val="16"/>
              </w:rPr>
              <w:t>0.708</w:t>
            </w:r>
          </w:p>
        </w:tc>
        <w:tc>
          <w:tcPr>
            <w:tcW w:type="dxa" w:w="975"/>
            <w:vAlign w:val="center"/>
          </w:tcPr>
          <w:p>
            <w:r>
              <w:rPr>
                <w:sz w:val="16"/>
              </w:rPr>
              <w:t>0.001</w:t>
            </w:r>
          </w:p>
        </w:tc>
        <w:tc>
          <w:tcPr>
            <w:tcW w:type="dxa" w:w="975"/>
            <w:vAlign w:val="center"/>
          </w:tcPr>
          <w:p>
            <w:r>
              <w:rPr>
                <w:sz w:val="16"/>
              </w:rPr>
              <w:t>-0.008 to 0.009</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0.729</w:t>
            </w:r>
          </w:p>
        </w:tc>
        <w:tc>
          <w:tcPr>
            <w:tcW w:type="dxa" w:w="975"/>
            <w:vAlign w:val="center"/>
          </w:tcPr>
          <w:p>
            <w:r>
              <w:rPr>
                <w:sz w:val="16"/>
              </w:rPr>
              <w:t>0.738</w:t>
            </w:r>
          </w:p>
        </w:tc>
        <w:tc>
          <w:tcPr>
            <w:tcW w:type="dxa" w:w="975"/>
            <w:vAlign w:val="center"/>
          </w:tcPr>
          <w:p>
            <w:r>
              <w:rPr>
                <w:sz w:val="16"/>
              </w:rPr>
              <w:t>0.009</w:t>
            </w:r>
          </w:p>
        </w:tc>
        <w:tc>
          <w:tcPr>
            <w:tcW w:type="dxa" w:w="975"/>
            <w:vAlign w:val="center"/>
          </w:tcPr>
          <w:p>
            <w:r>
              <w:rPr>
                <w:sz w:val="16"/>
              </w:rPr>
              <w:t>0.007 to 0.012</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0.740</w:t>
            </w:r>
          </w:p>
        </w:tc>
        <w:tc>
          <w:tcPr>
            <w:tcW w:type="dxa" w:w="975"/>
            <w:vAlign w:val="center"/>
          </w:tcPr>
          <w:p>
            <w:r>
              <w:rPr>
                <w:sz w:val="16"/>
              </w:rPr>
              <w:t>0.749</w:t>
            </w:r>
          </w:p>
        </w:tc>
        <w:tc>
          <w:tcPr>
            <w:tcW w:type="dxa" w:w="975"/>
            <w:vAlign w:val="center"/>
          </w:tcPr>
          <w:p>
            <w:r>
              <w:rPr>
                <w:sz w:val="16"/>
              </w:rPr>
              <w:t>0.009</w:t>
            </w:r>
          </w:p>
        </w:tc>
        <w:tc>
          <w:tcPr>
            <w:tcW w:type="dxa" w:w="975"/>
            <w:vAlign w:val="center"/>
          </w:tcPr>
          <w:p>
            <w:r>
              <w:rPr>
                <w:sz w:val="16"/>
              </w:rPr>
              <w:t>0.003 to 0.014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0.717</w:t>
            </w:r>
          </w:p>
        </w:tc>
        <w:tc>
          <w:tcPr>
            <w:tcW w:type="dxa" w:w="975"/>
            <w:vAlign w:val="center"/>
          </w:tcPr>
          <w:p>
            <w:r>
              <w:rPr>
                <w:sz w:val="16"/>
              </w:rPr>
              <w:t>0.012</w:t>
            </w:r>
          </w:p>
        </w:tc>
        <w:tc>
          <w:tcPr>
            <w:tcW w:type="dxa" w:w="975"/>
            <w:vAlign w:val="center"/>
          </w:tcPr>
          <w:p>
            <w:r>
              <w:rPr>
                <w:sz w:val="16"/>
              </w:rPr>
              <w:t>0.007 to 0.018</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0.668</w:t>
            </w:r>
          </w:p>
        </w:tc>
        <w:tc>
          <w:tcPr>
            <w:tcW w:type="dxa" w:w="975"/>
            <w:vAlign w:val="center"/>
          </w:tcPr>
          <w:p>
            <w:r>
              <w:rPr>
                <w:sz w:val="16"/>
              </w:rPr>
              <w:t>0.661</w:t>
            </w:r>
          </w:p>
        </w:tc>
        <w:tc>
          <w:tcPr>
            <w:tcW w:type="dxa" w:w="975"/>
            <w:vAlign w:val="center"/>
          </w:tcPr>
          <w:p>
            <w:r>
              <w:rPr>
                <w:sz w:val="16"/>
              </w:rPr>
              <w:t>-0.007</w:t>
            </w:r>
          </w:p>
        </w:tc>
        <w:tc>
          <w:tcPr>
            <w:tcW w:type="dxa" w:w="975"/>
            <w:vAlign w:val="center"/>
          </w:tcPr>
          <w:p>
            <w:r>
              <w:rPr>
                <w:sz w:val="16"/>
              </w:rPr>
              <w:t>-0.020 to 0.005</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0.709</w:t>
            </w:r>
          </w:p>
        </w:tc>
        <w:tc>
          <w:tcPr>
            <w:tcW w:type="dxa" w:w="975"/>
            <w:vAlign w:val="center"/>
          </w:tcPr>
          <w:p>
            <w:r>
              <w:rPr>
                <w:sz w:val="16"/>
              </w:rPr>
              <w:t>0.005</w:t>
            </w:r>
          </w:p>
        </w:tc>
        <w:tc>
          <w:tcPr>
            <w:tcW w:type="dxa" w:w="975"/>
            <w:vAlign w:val="center"/>
          </w:tcPr>
          <w:p>
            <w:r>
              <w:rPr>
                <w:sz w:val="16"/>
              </w:rPr>
              <w:t>0.003 to 0.007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0.697</w:t>
            </w:r>
          </w:p>
        </w:tc>
        <w:tc>
          <w:tcPr>
            <w:tcW w:type="dxa" w:w="975"/>
            <w:vAlign w:val="center"/>
          </w:tcPr>
          <w:p>
            <w:r>
              <w:rPr>
                <w:sz w:val="16"/>
              </w:rPr>
              <w:t>0.717</w:t>
            </w:r>
          </w:p>
        </w:tc>
        <w:tc>
          <w:tcPr>
            <w:tcW w:type="dxa" w:w="975"/>
            <w:vAlign w:val="center"/>
          </w:tcPr>
          <w:p>
            <w:r>
              <w:rPr>
                <w:sz w:val="16"/>
              </w:rPr>
              <w:t>0.020</w:t>
            </w:r>
          </w:p>
        </w:tc>
        <w:tc>
          <w:tcPr>
            <w:tcW w:type="dxa" w:w="975"/>
            <w:vAlign w:val="center"/>
          </w:tcPr>
          <w:p>
            <w:r>
              <w:rPr>
                <w:sz w:val="16"/>
              </w:rPr>
              <w:t>0.017 to 0.023</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0.605</w:t>
            </w:r>
          </w:p>
        </w:tc>
        <w:tc>
          <w:tcPr>
            <w:tcW w:type="dxa" w:w="975"/>
            <w:vAlign w:val="center"/>
          </w:tcPr>
          <w:p>
            <w:r>
              <w:rPr>
                <w:sz w:val="16"/>
              </w:rPr>
              <w:t>0.617</w:t>
            </w:r>
          </w:p>
        </w:tc>
        <w:tc>
          <w:tcPr>
            <w:tcW w:type="dxa" w:w="975"/>
            <w:vAlign w:val="center"/>
          </w:tcPr>
          <w:p>
            <w:r>
              <w:rPr>
                <w:sz w:val="16"/>
              </w:rPr>
              <w:t>0.012</w:t>
            </w:r>
          </w:p>
        </w:tc>
        <w:tc>
          <w:tcPr>
            <w:tcW w:type="dxa" w:w="975"/>
            <w:vAlign w:val="center"/>
          </w:tcPr>
          <w:p>
            <w:r>
              <w:rPr>
                <w:sz w:val="16"/>
              </w:rPr>
              <w:t>-0.002 to 0.025</w:t>
            </w:r>
          </w:p>
        </w:tc>
        <w:tc>
          <w:tcPr>
            <w:tcW w:type="dxa" w:w="975"/>
            <w:vAlign w:val="center"/>
          </w:tcPr>
          <w:p>
            <w:r>
              <w:rPr>
                <w:sz w:val="16"/>
              </w:rPr>
              <w:t>uncertain</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binary_symmetric_pls_ridge_repeated_nested_cv.csv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