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systematic patient-level benchmark and reusable model resource for molecular and derived immune-feature prediction from pretrained TITAN whole-slide representations across 32 TCGA cancers</w:t>
      </w:r>
    </w:p>
    <w:p>
      <w:pPr>
        <w:jc w:val="center"/>
      </w:pPr>
      <w:r>
        <w:rPr>
          <w:b/>
        </w:rPr>
        <w:t>Aamilah Ismail</w:t>
      </w:r>
      <w:r>
        <w:rPr>
          <w:vertAlign w:val="superscript"/>
        </w:rPr>
        <w:t>3,*</w:t>
      </w:r>
      <w:r>
        <w:t xml:space="preserve">, </w:t>
      </w:r>
      <w:r>
        <w:rPr>
          <w:b/>
        </w:rPr>
        <w:t>Martin Ocharo</w:t>
      </w:r>
      <w:r>
        <w:rPr>
          <w:vertAlign w:val="superscript"/>
        </w:rPr>
        <w:t>1,2,*</w:t>
      </w:r>
      <w:r>
        <w:t xml:space="preserve">, </w:t>
      </w:r>
      <w:r>
        <w:rPr>
          <w:b/>
        </w:rPr>
        <w:t>Moussa Kassim</w:t>
      </w:r>
      <w:r>
        <w:rPr>
          <w:vertAlign w:val="superscript"/>
        </w:rPr>
        <w:t>1,2</w:t>
      </w:r>
      <w:r>
        <w:t xml:space="preserve">, </w:t>
      </w:r>
      <w:r>
        <w:rPr>
          <w:b/>
        </w:rPr>
        <w:t>Dalia Ahmed</w:t>
      </w:r>
      <w:r>
        <w:rPr>
          <w:vertAlign w:val="superscript"/>
        </w:rPr>
        <w:t>1</w:t>
      </w:r>
      <w:r>
        <w:t xml:space="preserve">, </w:t>
      </w:r>
      <w:r>
        <w:rPr>
          <w:b/>
        </w:rPr>
        <w:t>Brendon Price</w:t>
      </w:r>
      <w:r>
        <w:rPr>
          <w:vertAlign w:val="superscript"/>
        </w:rPr>
        <w:t>5</w:t>
      </w:r>
      <w:r>
        <w:t xml:space="preserve">, </w:t>
      </w:r>
      <w:r>
        <w:rPr>
          <w:b/>
        </w:rPr>
        <w:t>Dupe Ojo</w:t>
      </w:r>
      <w:r>
        <w:rPr>
          <w:vertAlign w:val="superscript"/>
        </w:rPr>
        <w:t>1</w:t>
      </w:r>
      <w:r>
        <w:t xml:space="preserve">, </w:t>
      </w:r>
      <w:r>
        <w:rPr>
          <w:b/>
        </w:rPr>
        <w:t>Ekene Emmanuel Nweke</w:t>
      </w:r>
      <w:r>
        <w:rPr>
          <w:vertAlign w:val="superscript"/>
        </w:rPr>
        <w:t>4</w:t>
      </w:r>
      <w:r>
        <w:t xml:space="preserve">, </w:t>
      </w:r>
      <w:r>
        <w:rPr>
          <w:b/>
        </w:rPr>
        <w:t>Silvano Piazza</w:t>
      </w:r>
      <w:r>
        <w:rPr>
          <w:vertAlign w:val="superscript"/>
        </w:rPr>
        <w:t>6,8</w:t>
      </w:r>
      <w:r>
        <w:t xml:space="preserve">, </w:t>
      </w:r>
      <w:r>
        <w:rPr>
          <w:b/>
        </w:rPr>
        <w:t>Dinesh Gupta</w:t>
      </w:r>
      <w:r>
        <w:rPr>
          <w:vertAlign w:val="superscript"/>
        </w:rPr>
        <w:t>7</w:t>
      </w:r>
      <w:r>
        <w:t xml:space="preserve">, </w:t>
      </w:r>
      <w:r>
        <w:rPr>
          <w:b/>
        </w:rPr>
        <w:t>Stefano Cacciatore</w:t>
      </w:r>
      <w:r>
        <w:rPr>
          <w:vertAlign w:val="superscript"/>
        </w:rPr>
        <w:t>1,2,†</w:t>
      </w:r>
    </w:p>
    <w:p>
      <w:pPr>
        <w:jc w:val="center"/>
      </w:pPr>
      <w:r>
        <w:rPr>
          <w:b/>
        </w:rPr>
        <w:t xml:space="preserve">1 </w:t>
      </w:r>
      <w:r>
        <w:t>Bioinformatics Unit, International Centre for Genetic Engineering and Biotechnology (ICGEB), Cape Town 7925, South Africa</w:t>
      </w:r>
    </w:p>
    <w:p>
      <w:pPr>
        <w:jc w:val="center"/>
      </w:pPr>
      <w:r>
        <w:rPr>
          <w:b/>
        </w:rPr>
        <w:t xml:space="preserve">2 </w:t>
      </w:r>
      <w:r>
        <w:t>Department of Integrative Biomedical Sciences, Institute of Infectious Disease &amp; Molecular Medicine (IDM), University of Cape Town, Cape Town 7925, South Africa</w:t>
      </w:r>
    </w:p>
    <w:p>
      <w:pPr>
        <w:jc w:val="center"/>
      </w:pPr>
      <w:r>
        <w:rPr>
          <w:b/>
        </w:rPr>
        <w:t xml:space="preserve">3 </w:t>
      </w:r>
      <w:r>
        <w:t>Division of Engineering, New York University Abu Dhabi, Abu Dhabi, United Arab Emirates</w:t>
      </w:r>
    </w:p>
    <w:p>
      <w:pPr>
        <w:jc w:val="center"/>
      </w:pPr>
      <w:r>
        <w:rPr>
          <w:b/>
        </w:rPr>
        <w:t xml:space="preserve">4 </w:t>
      </w:r>
      <w:r>
        <w:t>Department of Surgery, Faculty of Health Sciences, University of the Witwatersrand, Johannesburg, Gauteng, South Africa</w:t>
      </w:r>
    </w:p>
    <w:p>
      <w:pPr>
        <w:jc w:val="center"/>
      </w:pPr>
      <w:r>
        <w:rPr>
          <w:b/>
        </w:rPr>
        <w:t xml:space="preserve">5 </w:t>
      </w:r>
      <w:r>
        <w:t>Division of Anatomical Pathology, University of Cape Town and National Health Laboratory Service, Observatory, Cape Town, South Africa</w:t>
      </w:r>
    </w:p>
    <w:p>
      <w:pPr>
        <w:jc w:val="center"/>
      </w:pPr>
      <w:r>
        <w:rPr>
          <w:b/>
        </w:rPr>
        <w:t xml:space="preserve">6 </w:t>
      </w:r>
      <w:r>
        <w:t>Computational Biology Group, International Centre for Genetic Engineering and Biotechnology (ICGEB), Trieste, Italy</w:t>
      </w:r>
    </w:p>
    <w:p>
      <w:pPr>
        <w:jc w:val="center"/>
      </w:pPr>
      <w:r>
        <w:rPr>
          <w:b/>
        </w:rPr>
        <w:t xml:space="preserve">7 </w:t>
      </w:r>
      <w:r>
        <w:t>Translational Bioinformatics Group, International Centre for Genetic Engineering and Biotechnology (ICGEB), Aruna Asaf Ali Marg, New Delhi 110067, India</w:t>
      </w:r>
    </w:p>
    <w:p>
      <w:pPr>
        <w:jc w:val="center"/>
      </w:pPr>
      <w:r>
        <w:rPr>
          <w:b/>
        </w:rPr>
        <w:t xml:space="preserve">8 </w:t>
      </w:r>
      <w:r>
        <w:t>Bioinformatics Facility, Department of Cellular, Computational and Integrative Biology - CIBIO, University of Trento, Trento, Italy</w:t>
      </w:r>
    </w:p>
    <w:p>
      <w:pPr>
        <w:jc w:val="center"/>
      </w:pPr>
      <w:r>
        <w:rPr>
          <w:i/>
        </w:rPr>
        <w:t>* These authors contributed equally.</w:t>
      </w:r>
    </w:p>
    <w:p>
      <w:pPr>
        <w:jc w:val="center"/>
      </w:pPr>
      <w:r>
        <w:rPr>
          <w:i/>
        </w:rPr>
        <w:t>† Corresponding author: Stefano Cacciatore (stefano.cacciatore@icgeb.org).</w:t>
      </w:r>
    </w:p>
    <w:p>
      <w:pPr>
        <w:jc w:val="center"/>
      </w:pPr>
      <w:r>
        <w:t>Author emails: aamilahismail@gmail.com; moussa.kassim@icgeb.org; dalia.ahmed@icgeb.org; dupe.ojo@icgeb.org; stefano.cacciatore@icgeb.org</w:t>
      </w:r>
    </w:p>
    <w:p>
      <w:pPr>
        <w:jc w:val="center"/>
      </w:pPr>
      <w:r>
        <w:t>Research article — Molecular Pathology | Journal of Translational Medicine</w:t>
      </w:r>
    </w:p>
    <w:p>
      <w:pPr>
        <w:pStyle w:val="Heading1"/>
      </w:pPr>
      <w:r>
        <w:t>Abstract</w:t>
      </w:r>
    </w:p>
    <w:p>
      <w:r>
        <w:rPr>
          <w:b/>
        </w:rPr>
        <w:t xml:space="preserve">Background. </w:t>
      </w:r>
      <w:r>
        <w:t>Pan-cancer histology studies span molecular endpoints: Arslan et al. trained 12,093 models for 4,031 biomarkers across 32 TCGA cancers. We evaluated TITAN as a patient-level benchmark and model resource, without claiming the first pan-cancer screen or unprecedented mutation targets.</w:t>
      </w:r>
    </w:p>
    <w:p>
      <w:r>
        <w:rPr>
          <w:b/>
        </w:rPr>
        <w:t xml:space="preserve">Methods. </w:t>
      </w:r>
      <w:r>
        <w:t>We mean-pooled 11,449 diagnostic slide embeddings into 9,404 patient vectors across 32 TCGA cancers; 843 patients contributed multiple slides. We tested 1,614 continuous and 459 binary cancer–endpoint pairs using patient-level nested PLS1 or PLS–LDA. Targets were classified as direct alteration calls, sequencing-derived burdens, inferred immune-cell fractions, transcriptomic signatures, pathology-derived quantities or composite scores. Models meeting the prespecified screening-statistic threshold underwent 999 complete-process permutations with conservative stopping, exact Monte Carlo intervals and Benjamini–Hochberg corrections locally, across cancers and atlas-wide. Eight prespecified models were extended to 9,999 permutations.</w:t>
      </w:r>
    </w:p>
    <w:p>
      <w:r>
        <w:rPr>
          <w:b/>
        </w:rPr>
        <w:t xml:space="preserve">Results. </w:t>
      </w:r>
      <w:r>
        <w:t>Screening identified 219 continuous and 104 binary candidates in screening tiers A or B. A stricter ≥50-per-class sensitivity retained 87/104 binary candidates; 17 smaller-class models were exploratory and excluded from default inference. Highlighted repeated-CV results included TGCT–TGF-beta Response (five-repeat mean Q² 0.670, selection-conditioned 95% patient-resampling interval 0.573–0.741; RMSE 0.303, Spearman 0.791) and LGG–TP53 (five-repeat mean sensitivity 0.839, specificity 0.885, balanced accuracy 0.862, selection-conditioned 95% patient-resampling interval 0.833–0.888; AUROC 0.908, PR-AUC 0.880). Prior studies supported 38/41 screen-positive cancer–gene pairs. 320/323 local candidates passed single BH correction across 2,073 eligible tests. Grouping by TCGA tissue-source-site code reduced 83/323 candidates (25.7%) below the screening threshold. In a 47-target metadata-stratified benchmark selected without PLS performance, median ridge-minus-PLS differences were 0.008 AUROC and 0.053 Q²; paired intervals favoured ridge for 8/35 binary and 10/12 continuous targets, and PLS for none.</w:t>
      </w:r>
    </w:p>
    <w:p>
      <w:r>
        <w:rPr>
          <w:b/>
        </w:rPr>
        <w:t xml:space="preserve">Conclusions. </w:t>
      </w:r>
      <w:r>
        <w:t>This systematic patient-level benchmark defines internally derived TCGA estimates under one fixed pretrained TITAN representation and constructs compact PLS reference models for future locked evaluation. PLS is the prespecified reference method, not an empirically optimal algorithm; the representative comparison more often favoured ridge. No independent performance evidence or basis for clinical application is presented.</w:t>
      </w:r>
    </w:p>
    <w:p>
      <w:r>
        <w:rPr>
          <w:b/>
        </w:rPr>
        <w:t xml:space="preserve">Trial registration. </w:t>
      </w:r>
      <w:r>
        <w:t>Not applicable.</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established mutation prediction from lung histology [1]. Subsequent work predicted microsatellite instability, including externally validated colorectal models [2,3]; extended mutation and multi-omic screening across TCGA cancers [4,5,8,11,13]; inferred RNA expression [6,12]; identified tissue-source-site bias [7]; detected gene fusions [9,10]; estimated homologous-recombination deficiency [14]; and characterised tumour-microenvironment phenotypes [15]. Collectively, these studies establish biological plausibility while also showing that performance depends on endpoint, disease, cohort and validation design.</w:t>
      </w:r>
    </w:p>
    <w:p>
      <w:r>
        <w:t>Breadth alone is not the gap. Fu et al. analysed 17,355 slides across 28 cancers [4], Kather et al. applied one workflow to more than 5,000 patients across 14 cancers [5], Saldanha et al. externally tested mutation models across seven matched TCGA and CPTAC cancers [11], and Arslan et al. trained 12,093 models for 4,031 genomic, transcriptomic, proteomic and clinical biomarkers in 8,890 TCGA patients across the same 32 cancers [13]. The present study consequently does not claim the first pan-cancer molecular screen, a larger endpoint catalogue, or general mutation-target novelty.</w:t>
      </w:r>
    </w:p>
    <w:p>
      <w:r>
        <w:t>The narrower unresolved gap is a reproducible benchmark that applies one fixed pretrained representation to every target; deterministically aggregates slides before outcome matching; performs nested validation with the patient as the unit; preserves tested-negative and sample-size-ineligible results; reports target-level sensitivity to grouping by TCGA tissue-source-site code; models selected derived immune and genomic-context features continuously; and constructs compact fitted predictors with research-use provenance metadata. These design and resource features—not unprecedented endpoint classes—define the contribution of this study.</w:t>
      </w:r>
    </w:p>
    <w:p>
      <w:r>
        <w:t>TITAN is a multimodal whole-slide foundation model pretrained on 335,645 slides with visual self-supervision and vision–language alignment [16]. The published Mass-340K pretraining corpus explicitly excluded TCGA and PANDA; TCGA was instead used for downstream evaluation of the pretrained model. The present work therefore has no reported TCGA pretraining overlap, but it is a secondary analysis of a cohort previously used to benchmark TITAN and is not independent external validation. We use its fixed 768-dimensional slide representation with PLS as one prespecified supervised linear reference; the study does not assume that PLS is algorithmically optimal [17,18].</w:t>
      </w:r>
    </w:p>
    <w:p>
      <w:r>
        <w:t>A practical feature of the fitted analysis is model portability. PLS, PLS–LDA and ridge predictors can all be represented by compact learned preprocessing and coefficient objects and applied without release of patient-level training embeddings or outcomes. Portability therefore motivates comparison within the linear-model family but is not a unique advantage of PLS. It supports external research testing while minimising distribution of patient-level data, but does not itself establish privacy, licensing compatibility or transportability.</w:t>
      </w:r>
    </w:p>
    <w:p>
      <w:r>
        <w:t>The primary question was cancer-specific: which individual mutations, derived inflammatory features, oncogenic pathways, MSI phenotypes, aneuploidy measures and fusions are predictable within each cancer? Molecular subtype association was not analysed. One-at-a-time PLS1 and PLS–LDA formed the prespecified reference screen because they preserve outcome-specific denominators and yield one independently usable model per endpoint. Joint PLS2 was evaluated secondarily only for coherent continuous inflammatory panels; its complete-case panel, shared latent structure and multiresponse estimand are not interchangeable with the endpoint-specific atlas.</w:t>
      </w:r>
    </w:p>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TITAN's TCGA-Slide-Reports.csv matched 10,106 selected slides exactly by filename; 1,343 slides lacked an exact report row. Report metadata were used only to audit identifiers, project/cancer provenance and resection-site annotations, and no report text entered a model. The two-character tissue-source-site code used for grouped validation was derived directly from the TCGA participant barcode. 9 participants without a resolvable cancer label did not enter cancer-specific modelling. No participant had eligible slides from more than one primary sample barcode.</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r>
        <w:t>All available eligible TCGA participants were used; no formal power calculation was performed. Minimum outcome-specific denominators were prespecified to support nested folds. Treatments were not modelled because the endpoints were contemporaneous molecular or derived immune/genomic features rather than prognosis or treatment response. Available demographic fields, subgroup sizes and endpoint-specific missingness did not provide a basis for representative subgroup performance or fairness evaluation; this is considered a limitation rather than evidence of equivalent performance across groups.</w:t>
      </w:r>
    </w:p>
    <w:p>
      <w:r>
        <w:t>Reporting was audited against TRIPOD+AI [28]. Participant characteristics were linked from the TCGA Clinical Data Resource [29] and summarized overall and by cancer. These descriptive fields were not supplied to prediction models, and no subgroup performance comparison was prespecified.</w:t>
      </w:r>
    </w:p>
    <w:p>
      <w:pPr>
        <w:jc w:val="center"/>
      </w:pPr>
      <w:r>
        <w:drawing>
          <wp:inline xmlns:a="http://schemas.openxmlformats.org/drawingml/2006/main" xmlns:pic="http://schemas.openxmlformats.org/drawingml/2006/picture">
            <wp:extent cx="5806440" cy="309676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fixed pretrained TITAN dimensions released for the TCGA slides [16]. The official gated artifact, TCGA_TITAN_features.pkl, was downloaded from https://huggingface.co/MahmoodLab/TITAN/blob/main/TCGA_TITAN_features.pkl after accepting the upstream terms and converted with the repository script to filename,titan_000,…,titan_767 CSV format; its source and converted-file SHA-256 hashes are retained in the provenance record. No slide pixels were reprocessed and TITAN weights were not fine-tuned in this study. Continuous outcomes comprised 39 immune/inflammatory measures and 11 genomic-context scores from Thorsson et al. [19], three aneuploidy burdens from Taylor et al. [20], log-transformed fusion burden from Gao et al. [21], and MANTIS/MSIsensor scores from Bonneville et al. and the cBioPortal TCGA PanCancer Atlas files [22,23]. Binary outcomes comprised qualifying protein-altering PASS mutations in tissue-specific consensus cancer genes from MC3 and Bailey et al. [24,25], ten oncogenic-pathway alteration indicators [26], genome doubling [20], any called fusion and eligible recurrent fusion pairs [21], and MSI-H definitions at MANTIS &gt;0.4 and a strict &gt;0.6 sensitivity threshold [22]. Protein-altering classes were missense, nonsense, nonstop, splice-site and translation-start mutations plus frameshift and in-frame insertions or deletions; their inclusion is recorded in a cancer-level variant-class audit. A mutation target denotes a qualifying alteration in a cancer gene; it does not assert that every allele is a functionally validated driver.</w:t>
      </w:r>
    </w:p>
    <w:p>
      <w:r>
        <w:t>The Thorsson Nonsilent Mutation Rate, Silent Mutation Rate, SNV Neoantigens, Indel Neoantigens and Number of Segments variables, and the Gao fusion burden, were analysed as log(1+x); all other continuous endpoints retained their source scale. Reported RMSE values therefore use these analysed units.</w:t>
      </w:r>
    </w:p>
    <w:p>
      <w:r>
        <w:t>The Thorsson umbrella does not denote a single immune assay. Its targets include CIBERSORT relative leukocyte fractions inferred by deconvolving bulk RNA sequencing [37], a leukocyte fraction inferred from DNA methylation, bulk-RNA gene-set signatures, BCR/TCR repertoire quantities reconstructed from RNA sequencing, in-silico neoantigen burdens, purity- and copy-number-derived genomic-context scores, and TIL Regional Fraction inferred from H&amp;E by the Saltz deep-learning workflow [19,38]. The last target is a same-histology-modality concordance task rather than cross-modal molecular prediction. None of these inferred quantities is treated as equivalent to flow cytometry, immunohistochemistry, a directly counted immune-cell assay or a clinically certified biomarker. A 2,073-row endpoint dictionary records source modality, direct/inferred status, derivation, source scale, transformation, outcome-specific missingness, expected measurement error, biological interpretation and an assay-equivalence caveat for every modelled target; its 194 unique definitions are supplied separately.</w:t>
      </w:r>
    </w:p>
    <w:p>
      <w:r>
        <w:t>Molecular missingness was retained rather than converted to a negative label, and no outcome imputation was performed. Mutation status was defined only among 8,476 embedding patients matched to an MC3 primary-tumour profile; 919 embedding patients without such a profile were excluded from mutation denominators. Within this profiled set, wild type meant no qualifying PASS protein-altering variant in the specified gene. Fusion-negative status was assigned only within the Gao study sample list. Multiple primary aliquots, if present, were collapsed at patient level by any alteration for binary mutation/pathway/fusion endpoints and by the prespecified mean or any-positive rule for continuous or binary instability endpoints. The source-level coverage table records covered patients, missing patients, aliquot multiplicity and aggregation for every cancer and source; no source contained multiple primary aliquots among matched embedding patients in this release.</w:t>
      </w:r>
    </w:p>
    <w:p>
      <w:r>
        <w:t>Continuous pairs required at least 50 non-missing patients. Binary screening eligibility required at least 20 positive and 20 negative patients. Eligibility was decided before modelling and every eligible test remained in its endpoint-family multiplicity denominator. Because this lower binary limit can produce sparse nested folds, we additionally repeated the eligibility and candidate-retention summary at 50 patients per class. Screen-positive models below that stricter threshold were retained in the complete atlas as exploratory/limited evidence, but were separated from standard-evidence models and excluded from the default inference interface.</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All primary, permutation, repeated, sensitivity, PLS1–PLS2 and final-model fits used CPU rSVD with 10 oversampling vectors, two power iterations and explicit seeds. Continuous performance was out-of-fold Q², with RMSE and Spearman correlation secondary. Binary models supplied PLS latent scores to ridge-stabilised LDA; balanced accuracy was primary, with AUROC and precision–recall area under the curve (PR-AUC) calculated from continuous LDA scores in repeated validation.</w:t>
      </w:r>
    </w:p>
    <w:p>
      <w:r>
        <w:t>Q² was 1−Σ(y−ŷ)²/Σ(y−ȳ)² over outer-fold predictions, and RMSE was the square root of the mean squared prediction error. For binary outcomes, class 1 denoted altered or positive and class 0 denoted wild type or negative within the outcome-specific covered denominator. Sensitivity was the class-1 true-positive rate, specificity the class-0 true-negative rate, and balanced accuracy their arithmetic mean. AUROC used the continuous class-1-minus-class-0 LDA discriminant score. PR-AUC was non-interpolated average precision, so its no-skill reference equals outcome prevalence. Positive and negative predictive values (PPV and NPV) were calculated from held-out class calls at the observed outcome prevalence in the analysed TCGA cohort; they are cohort-specific descriptive estimates, not calibrated probabilities or transportable operating characteristics. Spearman correlation used observed and held-out continuous predictions.</w:t>
      </w:r>
    </w:p>
    <w:p>
      <w:r>
        <w:t>As a secondary algorithmic benchmark, targets were selected from all 2,073 eligible cancer–endpoint tests without using PLS performance. Continuous and binary sampling frames were divided into empirical sample-size terciles; binary endpoints were additionally divided into empirical terciles of minority-class fraction. Within each non-empty outcome-family × sample-size cell—and binary family × size × imbalance cell—the endpoint with the lowest salted SHA-256 rank was selected. The fixed rule yielded 12 continuous and 35 binary targets, including 14 screen-positive and 33 screen-negative endpoints. The complete sampling frame, salt, hashes and selected jobs are released. This is a representative metadata-stratified comparison, not an atlas-wide fit of ridge to every endpoint.</w:t>
      </w:r>
    </w:p>
    <w:p>
      <w:r>
        <w:t>Each selected target was fitted across five repeated nested partitions using PLS1 or PLS–LDA and ridge-penalised Gaussian or logistic regression. Within every repeat, both methods used identical patients, outer folds and inner folds. For continuous outcomes, both PLS component count and ridge penalty maximised pooled inner out-of-fold Q²; maximising Q² is equivalent to minimising pooled squared error because the validation outcome denominator is fixed. For binary outcomes, each method's operating threshold maximised balanced accuracy on its own inner out-of-fold continuous scores, without access to the outer test fold. Threshold-independent AUROC was the primary binary comparison metric and symmetrically thresholded balanced accuracy was secondary; continuous comparisons used Q² and Spearman correlation. For repeat r, d_r=M_r(ridge)−M_r(PLS) and Δ=(1/5)Σ_r d_r. Two thousand paired patient-resampling replicates sampled patients with replacement, retained both methods and all five matched predictions, and recalculated d_r and Δ; percentile 2.5 and 97.5 formed the interval. The interval does not repeat metadata-stratified target selection, generate new partitions or refit either algorithm. Ridge was chosen as a simple portable linear baseline; portability is not unique to PLS.</w:t>
      </w:r>
    </w:p>
    <w:p>
      <w:r>
        <w:t>No class under-sampling, over-sampling or synthetic augmentation was used. The prespecified atlas—not the secondary method benchmark—retained the fitted LDA class rule with observed training-fold class priors and returned a class plus an uncalibrated discriminant score, not a probability or clinical-risk threshold. The symmetric benchmark applied its nested threshold rule to both PLS–LDA and ridge and did not replace the primary atlas predictions or fitted models. Outcome tables were constructed independently of TITAN feature processing and joined only after patient-level aggregation.</w:t>
      </w:r>
    </w:p>
    <w:p>
      <w:r>
        <w:t>Nested performance was first checkpointed for the complete screen. Only models with Q²≥0.20 or chance-corrected balanced accuracy≥0.20 entered permutation testing. For every permutation, patient labels were reassigned and the complete modelling process was repeated: training-fold centering, five-fold inner selection of 1–10 components, outer-fold refitting and held-out prediction. Thus neither scaling parameters, component counts nor outer predictions were reused from the observed-label fit. A 99-permutation checkpoint was followed by refinement toward 999 permutations. During final refinement, evaluation stopped conservatively after 49 exceedances because raw p&lt;0.05 was then impossible even if every remaining null statistic were less extreme; stopped endpoints were assigned p=1. Early-stopped jobs resumed from the exact number attempted, so no permutation indices were skipped. Regression extremeness used lower RMSE, whereas classification used higher balanced accuracy. Completed finite p values were (b+1)/(B+1), giving minimum resolution 0.001. Exact two-sided 95% Clopper–Pearson intervals for the underlying null exceedance probability quantify Monte Carlo uncertainty; with zero exceedances among 999 permutations this interval is 0–0.003686.</w:t>
      </w:r>
    </w:p>
    <w:p>
      <w:r>
        <w:t>Because each disease defines a separate prediction and intended-use population, Benjamini–Hochberg FDR was controlled separately for continuous and binary screens within cancer and prespecified endpoint family [27]. Two stricter sensitivities were retained: BH across cancers within the same outcome type and family, and a single BH correction across all eligible continuous and binary cancer–endpoint tests in the atlas. Eight models were locked before high-resolution results were generated: four leading continuous immune programmes and four leading binary claims spanning mutation, strict MSI and fusion endpoints. Their saved first 999 permutations were extended without early stopping to 9,999 complete-process permutations. This targeted analysis improves Monte Carlo resolution for leading claims but was not substituted into the prespecified 999-permutation FDR screen. The screening statistic is Q² for continuous outcomes and 2×balanced accuracy−1 for binary outcomes. Screen-positive candidates were assigned to prespecified screening tier A (primary q&lt;0.05 and screening statistic≥0.40) or prespecified screening tier B (primary q&lt;0.05 and screening statistic from 0.20 to &lt;0.40). For binary outcomes these cut-offs correspond to balanced accuracy≥0.70 and 0.60 to &lt;0.70, respectively; for continuous outcomes they correspond to Q²≥0.40 and 0.20 to &lt;0.40. Screen-negative tested pairs and pairs ineligible by sample-size rules were reported separately. Models are ordered by the outcome-appropriate predictive metric, with repeated stability and stability under grouping by TCGA tissue-source-site code reported alongside; tied permutation q-values are not used for ranking. The tiers are prespecified prioritisation rules, not established clinical or statistical effect categories, and their numerical values are not interpreted as directly commensurate across outcome types.</w:t>
      </w:r>
    </w:p>
    <w:p>
      <w:pPr>
        <w:pStyle w:val="Heading2"/>
      </w:pPr>
      <w:r>
        <w:t>Robustness and saved models</w:t>
      </w:r>
    </w:p>
    <w:p>
      <w:r>
        <w:t>The initial nested-CV estimate used for candidate screening, permutation testing and tier assignment is termed the primary screening estimate. Only endpoints passing that initial atlas screen entered five additional independently seeded nested-CV partitions; their reported repeated-validation estimate is the arithmetic mean of the five repeat-specific metrics. The two estimates answer different questions and need not be numerically identical because they use different fold partitions and rSVD seeds. The primary screening estimate preserves the prespecified selection and multiplicity path, whereas the five-repeat estimate describes post-selection resampling stability; it does not replace or retroactively alter screen membership. For example, THYM–Th17 had primary screening Q²=0.638 and five-repeat mean Q²=0.594. Each repeat seed governed both fold construction and rSVD. Sensitivity, specificity, balanced accuracy and AUROC were calculated within each repeat for binary endpoints; Q², RMSE and Spearman correlation were calculated within each repeat for continuous endpoints. LDA scores from independently fitted repeats were never pooled onto an assumed common scale. For highlighted models, 1,000 patient-cluster bootstrap resamples retained all five existing held-out predictions for each sampled patient, recalculated the metric within repeat and then averaged the five repeat metrics; the 2.5th and 97.5th percentiles formed the reported 95% selection-conditioned patient-resampling interval for repeated out-of-fold predictions. This interval represents patient sampling variability conditional on the five fitted nested-CV prediction sets. It includes neither the initial screen and endpoint highlighting nor new partition generation, scaling or component reselection, model refitting inside bootstrap replicates, winner's-curse correction, or external cohort, institution, scanner and population variation. Validation grouped by TCGA tissue-source-site code assigned all patients sharing the same two-character code to one outer fold. The same TCGA tissue-source-site-code constraint was passed to every inner component-selection split within the outer training set; thus neither outer performance estimation nor inner tuning divided a code across folds. For every model and outer fold, we recorded test and training patients, TCGA tissue-source-site codes, and—where applicable—positive and negative cases. A sensitivity analysis replaced each mean-pooled vector with the lexicographically first eligible diagnostic slide while preserving patients and seeds. Full-data research models were tuned by ten-fold CV and saved with feature order and checksum, training ranges, aggregation rule, endpoint transformation and output units, class coding and priors, decision rule, calibration status, class counts, exact software version and commit, computation backend, rSVD controls, external-validation status and intended-use metadata.</w:t>
      </w:r>
    </w:p>
    <w:p>
      <w:r>
        <w:t>For every screen-positive binary model, we recorded positive and negative counts in all 25 repeated outer test folds and reconstructed the exact five-fold inner component-selection partitions within every outer training set. We summarized the selected-component distribution across the resulting 25 fits. Repeat stability was quantified using pairwise Spearman correlations of patient-level standardized held-out scores and agreement of held-out class calls across repeats. For the limited-evidence subset, learning curves retained each repeat's original outer test fold while fitting on stratified 50%, 75% and 100% subsets of the outer training data; the five repeats were analysed separately. This design isolates training-size sensitivity without moving patients between training and evaluation. These analyses do not convert sparse internal validation into external evidence.</w:t>
      </w:r>
    </w:p>
    <w:p>
      <w:r>
        <w:t>To quantify whether TITAN itself retained information about TCGA tissue-source-site code, we treated that code as a multiclass outcome within each cancer. This dedicated confounding analysis retained codes represented by at least 10 patients, required at least two eligible codes per cancer, and used five independently seeded nested five-fold PLS–LDA validations with the same component range and rSVD controls. The primary metric was multiclass macro balanced accuracy (mean recall across TCGA tissue-source-site codes); chance was 1/k for k analysed codes, and a chance-normalised value, (balanced accuracy − 1/k)/(1 − 1/k), was calculated for cross-cancer description. Patients with rare codes excluded from this code-classification analysis remained in all eligible molecular-endpoint analyses. This analysis tests whether the representation encodes TCGA tissue-source-site-code signatures; it does not identify their scanner, laboratory, staining or population causes.</w:t>
      </w:r>
    </w:p>
    <w:p>
      <w:r>
        <w:t>For qualitative morphological context, we selected five representative models spanning an H&amp;E-derived TIL quantity, an RNA-derived CIBERSORT fraction, an RNA-expression signature, a copy-number burden and a sequence-supported mutation. Within each model, high and low anchors were chosen from concordant extremes of mean repeated out-of-fold predictions. The closest within-cancer patient was then retrieved by cosine similarity of patient-level mean TITAN representations. For display only, a report-covered slide closest to each patient mean was selected deterministically, and prespecified morphological terms were extracted from TITAN-generated TCGA-Slide-Reports text. Neither report text nor example selection entered model fitting. Only global 768-dimensional pooled representations were available; no patch embeddings, attention maps or slide pixels were retained. The analysis is therefore descriptive nearest-neighbour context, not patch-level relevance, causal attribution or blinded pathologist review.</w:t>
      </w:r>
    </w:p>
    <w:p>
      <w:r>
        <w:t>TITANPred retains the binary LDA score but does not convert it to a probability. In the research-software demonstration, its position is labelled 'TCGA out-of-fold score rank (not probability)' rather than percentile or risk. Binary output displays total training n, class counts and prevalence; balanced accuracy, AUROC and PR-AUC; TCGA-prevalence PPV and NPV; fold minima, component-selection variability and repeat stability; and sensitivity to grouping by TCGA tissue-source-site code. The 17 screen-positive models with fewer than 50 patients in either class are marked exploratory/limited evidence, omitted from default inference and available only through explicit opt-in with a warning. Probability calibration was not added post hoc because it would require an independently evaluated or fully nested calibration procedure, which is not available in this TCGA benchmark.</w:t>
      </w:r>
    </w:p>
    <w:p>
      <w:r>
        <w:t>The fitted PLS and PLS–LDA objects contain the learned transformations and coefficients needed for research inference but no patient-level training rows. They are distributed as prespecified reference models, not as models shown to outperform ridge. The access-controlled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4.6.0 and fastPLS 0.99.20 (Git commit dcf45cc). MC3 objects were loaded with TCGAmutations 0.4.0 from the GitHub source pinned in the software manifest. Version-controlled code, source manifests, target catalogues, out-of-fold prediction summaries, figures and the model registry are organized in the public companion analysis repository [30]. A separate access-controlled GPL-3 R package contains the fitted models, their SHA-256 registry, reference distributions, inference interface and research-software output template [32]. That repository is private and the manuscript does not claim public availability of the fitted artifacts. The artifacts contain learned parameters and training-range summaries but no patient-level training rows. No independent cohort with compatible TITAN features and the required labels was included; every performance estimate is an internally derived TCGA estimate.</w:t>
      </w:r>
    </w:p>
    <w:p>
      <w:pPr>
        <w:pStyle w:val="Heading2"/>
      </w:pPr>
      <w:r>
        <w:t>Prospectively locked protocol for future independent evaluation</w:t>
      </w:r>
    </w:p>
    <w:p>
      <w:r>
        <w:t>After the internal TCGA screen, but before accessing any external features, outcomes or predictions, we fixed a three-model UCEC subset for future independent evaluation: TP53 mutation, genome doubling and continuous aneuploidy score. The exact fitted-object SHA-256 hashes are c39ba2caeefc148e67412647f3e1835dbcd719088a4d379b53068482ebb2ede0, 8f9fd73578189bab5d5c88bb8005415a07b93a662f2b0adb893f0b04e1cc3604 and 0c520d8a9d57dd5af109416c5b82ffb0f0862e3505cd9888965fdeee4aa60f3b, respectively. Their internal performance is selection-conditioned; locking them now does not convert TCGA estimates into external evidence.</w:t>
      </w:r>
    </w:p>
    <w:p>
      <w:r>
        <w:t>A future evaluation must extract every eligible primary-tumour diagnostic slide with the documented CONCH v1.5–TITAN pipeline, apply the same deterministic patient mean pooling, preserve the 768-feature order and use the hashed artifacts without refitting, recalibration, class-prior changes or threshold adjustment. Outcomes must be constructed independently of image predictions using definitions compatible with the TCGA targets; an irreproducible endpoint must be reported as non-evaluable rather than replaced with an externally optimised surrogate. Binary primary performance is balanced accuracy, with AUROC, sensitivity and specificity secondary; continuous primary performance is Q², with RMSE, Spearman correlation, calibration intercept and calibration slope secondary. Patient/slide flow, molecular missingness, exclusions, denominators, uncertainty and all three outcomes—including failures—must be reported. The executable specification and machine-readable lock file are provided in the companion repository.</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r>
        <w:t>Supplementary methods, Tables S1–S14, Figures S1–S4 and the machine-readable-file inventory are provided in Additional file 1. The two post hoc illustrative COAD research-software outputs are supplied separately as Additional files 2 and 3.</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The maximum was 30 slides for one patient, and no patient contributed slides from multiple primary sample barcodes. Exact slide-report coverage was 10,106/11,449 (88.3%). Cancer labels were available for 9,395 patients across 32 cancers. The benchmark evaluated 1,614 continuous and 459 binary cancer–endpoint pairs (Table 1). Of 537 prespecified cancer–gene mutation pairs with a profiled denominator, 238 met the 20-positive/20-negative rule and 299 were reported as ineligible rather than tested-negative. Molecular coverage varied by source and cancer; missing cases were excluded outcome by outcome.</w:t>
      </w:r>
    </w:p>
    <w:p>
      <w:r>
        <w:t>The TCGA Clinical Data Resource [29] matched 9,385/9,404 participants. Age was available for 9,338 participants (median 60.0 years, IQR 50.0–70.0); 4,780/9,385 with recorded gender were female. Race was recorded for 8,262 and broad stage I–IV for 7,505. These fields describe cohort composition only; subgroup predictive performance was not evaluated.</w:t>
      </w:r>
    </w:p>
    <w:p>
      <w:pPr>
        <w:pStyle w:val="Caption"/>
      </w:pPr>
      <w:r>
        <w:t>Table 1. Eligible cancer–endpoint models and within-cancer screening categories.</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Screening tier A</w:t>
            </w:r>
          </w:p>
        </w:tc>
        <w:tc>
          <w:tcPr>
            <w:tcW w:type="dxa" w:w="850"/>
          </w:tcPr>
          <w:p>
            <w:r>
              <w:rPr>
                <w:b/>
                <w:sz w:val="17"/>
              </w:rPr>
              <w:t>Screening tier B</w:t>
            </w:r>
          </w:p>
        </w:tc>
        <w:tc>
          <w:tcPr>
            <w:tcW w:type="dxa" w:w="850"/>
          </w:tcPr>
          <w:p>
            <w:r>
              <w:rPr>
                <w:b/>
                <w:sz w:val="17"/>
              </w:rPr>
              <w:t>Screen-negative</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9</w:t>
            </w:r>
          </w:p>
        </w:tc>
        <w:tc>
          <w:tcPr>
            <w:tcW w:type="dxa" w:w="850"/>
            <w:vAlign w:val="center"/>
          </w:tcPr>
          <w:p>
            <w:r>
              <w:rPr>
                <w:sz w:val="16"/>
              </w:rPr>
              <w:t>81</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16</w:t>
            </w:r>
          </w:p>
        </w:tc>
        <w:tc>
          <w:tcPr>
            <w:tcW w:type="dxa" w:w="850"/>
            <w:vAlign w:val="center"/>
          </w:tcPr>
          <w:p>
            <w:r>
              <w:rPr>
                <w:sz w:val="16"/>
              </w:rPr>
              <w:t>25</w:t>
            </w:r>
          </w:p>
        </w:tc>
        <w:tc>
          <w:tcPr>
            <w:tcW w:type="dxa" w:w="850"/>
            <w:vAlign w:val="center"/>
          </w:tcPr>
          <w:p>
            <w:r>
              <w:rPr>
                <w:sz w:val="16"/>
              </w:rPr>
              <w:t>197</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7</w:t>
            </w:r>
          </w:p>
        </w:tc>
        <w:tc>
          <w:tcPr>
            <w:tcW w:type="dxa" w:w="850"/>
            <w:vAlign w:val="center"/>
          </w:tcPr>
          <w:p>
            <w:r>
              <w:rPr>
                <w:sz w:val="16"/>
              </w:rPr>
              <w:t>29</w:t>
            </w:r>
          </w:p>
        </w:tc>
        <w:tc>
          <w:tcPr>
            <w:tcW w:type="dxa" w:w="850"/>
            <w:vAlign w:val="center"/>
          </w:tcPr>
          <w:p>
            <w:r>
              <w:rPr>
                <w:sz w:val="16"/>
              </w:rPr>
              <w:t>130</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37</w:t>
            </w:r>
          </w:p>
        </w:tc>
        <w:tc>
          <w:tcPr>
            <w:tcW w:type="dxa" w:w="850"/>
            <w:vAlign w:val="center"/>
          </w:tcPr>
          <w:p>
            <w:r>
              <w:rPr>
                <w:sz w:val="16"/>
              </w:rPr>
              <w:t>168</w:t>
            </w:r>
          </w:p>
        </w:tc>
        <w:tc>
          <w:tcPr>
            <w:tcW w:type="dxa" w:w="850"/>
            <w:vAlign w:val="center"/>
          </w:tcPr>
          <w:p>
            <w:r>
              <w:rPr>
                <w:sz w:val="16"/>
              </w:rPr>
              <w:t>1229</w:t>
            </w:r>
          </w:p>
        </w:tc>
      </w:tr>
    </w:tbl>
    <w:p/>
    <w:p>
      <w:pPr>
        <w:pStyle w:val="Heading2"/>
      </w:pPr>
      <w:r>
        <w:t>Endpoint provenance and assay equivalence</w:t>
      </w:r>
    </w:p>
    <w:p>
      <w:r>
        <w:t>The target-level audit classified the 2,073 eligible tests as 265 directly observed genomic alteration; 439 sequencing-derived continuous burden; 685 computationally inferred immune-cell fraction; 299 transcriptomic signature; 13 pathology-associated quantity; 372 composite genomic-context score. These categories describe the label-generation modality, not the modality of the TITAN predictor. Only the 13 cancer-specific TIL Regional Fraction tests used an outcome derived from H&amp;E itself. Thus, apparent predictability of CIBERSORT fractions, leukocyte fraction or RNA signatures is agreement with another computational phenotype and cannot be interpreted as recovery of a directly measured immune-cell count. The complete target-level dictionary and the 194-definition dictionary are Supplementary Table S13 machine-readable companions.</w:t>
      </w:r>
    </w:p>
    <w:p>
      <w:pPr>
        <w:pStyle w:val="Heading2"/>
      </w:pPr>
      <w:r>
        <w:t>Continuous derived immune, genomic-context and instability phenotypes</w:t>
      </w:r>
    </w:p>
    <w:p>
      <w:r>
        <w:t>Among continuous targets, 37 were assigned to prespecified screening tier A and 182 to tier B. The largest primary screening Q² values were TGCT–TGF-beta Response (0.670); THYM–Th17 Cells (0.638); THCA–Lymphocyte Infiltration Signature Score (0.580); BRCA–Wound Healing (0.527); THCA–TGF-beta Response (0.522); SARC–Macrophage Regulation (0.520); KIRP–Proliferation (0.515); LUAD–Proliferation (0.512); BRCA–Proliferation (0.510); THCA–Th1 Cells (0.503). These initial nested-CV values determined screening and tier assignment; five-repeat means are reported separately for stability. These results were cancer specific: the same endpoint could be predictable in one tumour type and screen-negative in another.</w:t>
      </w:r>
    </w:p>
    <w:p>
      <w:r>
        <w:t>As an explicit example of the two reporting stages, THYM–Th17 had primary screening Q²=0.638 and a five-repeat mean repeated-validation Q²=0.594. This difference reflects independently seeded nested-CV partitions and is not a discrepancy or a change to the primary screen result.</w:t>
      </w:r>
    </w:p>
    <w:p>
      <w:r>
        <w:t>Of 219 within-cancer screen-positive continuous pairs, 219 met q&lt;0.05 under the stricter across-cancer family sensitivity after the 999-permutation refinement. Pairs passing this sensitivity are identified explicitly in the figure and machine-readable table; the remainder are cancer-specific candidates. The 0.001 minimum completed-test p-value should be considered when interpreting large global families.</w:t>
      </w:r>
    </w:p>
    <w:p>
      <w:pPr>
        <w:jc w:val="center"/>
      </w:pPr>
      <w:r>
        <w:drawing>
          <wp:inline xmlns:a="http://schemas.openxmlformats.org/drawingml/2006/main" xmlns:pic="http://schemas.openxmlformats.org/drawingml/2006/picture">
            <wp:extent cx="5806440" cy="3978487"/>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3978487"/>
                    </a:xfrm>
                    <a:prstGeom prst="rect"/>
                  </pic:spPr>
                </pic:pic>
              </a:graphicData>
            </a:graphic>
          </wp:inline>
        </w:drawing>
      </w:r>
    </w:p>
    <w:p>
      <w:pPr>
        <w:pStyle w:val="Caption"/>
        <w:jc w:val="center"/>
      </w:pPr>
      <w:r>
        <w:t>Figure 2. Eighteen strongest within-cancer screen-positive continuous cancer–endpoint results, ranked by primary screening Q². The reduced set and larger typography improve readability; complete results and five-repeat estimates are in Supplementary Table S7 and machine-readable files. All Q² values use genuine patient-level outer-fold predictions.</w:t>
      </w:r>
    </w:p>
    <w:p>
      <w:pPr>
        <w:pStyle w:val="Heading2"/>
      </w:pPr>
      <w:r>
        <w:t>Binary molecular phenotypes</w:t>
      </w:r>
    </w:p>
    <w:p>
      <w:r>
        <w:t>The binary screen yielded 29 candidates in prespecified screening tier A and 75 in tier B. The largest primary screening balanced accuracies were THYM–GTF2I [mutation] (0.883); READ–APC [mutation] (0.862); READ–TP53 [mutation] (0.861); LGG–TP53 [mutation] (0.846); THCA–BRAF [mutation] (0.830); LGG–TP53 [pathway] (0.822); LGG–HIPPO [pathway] (0.811); COAD–APC [mutation] (0.793); UCEC–Any called fusion [fusion] (0.792); LGG–IDH1 [mutation] (0.786); COAD–MSI-H strict (MANTIS &gt;0.6) [strict MSI] (0.784); COAD–TP53 [mutation] (0.779). These initial nested-CV values determined screening and tier assignment; five-repeat means are reported separately for stability. The complete table distinguishes tested-negative pairs from outcomes that failed prevalence or sample-size eligibility.</w:t>
      </w:r>
    </w:p>
    <w:p>
      <w:r>
        <w:t>Of 104 within-cancer screen-positive binary pairs, 102 also met the stricter across-cancer family q&lt;0.05, including 39 cancer–gene mutation pairs. Mutation pairs passing this stricter sensitivity are distinguished from those supported only within cancer; the 0.001 permutation resolution remains relevant for the full mutation family.</w:t>
      </w:r>
    </w:p>
    <w:p>
      <w:pPr>
        <w:pStyle w:val="Heading2"/>
      </w:pPr>
      <w:r>
        <w:t>Binary class-size sensitivity and development stability</w:t>
      </w:r>
    </w:p>
    <w:p>
      <w:r>
        <w:t>Of 459 binary pairs eligible at 20 patients per class, 244 (53.2%) also met a 50-per-class rule. Among the 104 screen-positive models, 87 (83.7%) met that stricter standard. The other 17 were designated exploratory/limited evidence; none of the highlighted binary models was in this group. The complete atlas retains these results for transparency, whereas default TITANPred inference now includes 87 binary and 219 continuous models and omits the limited subset unless explicitly requested.</w:t>
      </w:r>
    </w:p>
    <w:p>
      <w:r>
        <w:t>Across all 104 screen-positive binary models, the smallest repeated outer test fold contained 4 positive and 6 negative patients. Within the limited subset, exact reconstructed inner folds contained as few as 12 positive and 19 negative training patients and 3 positive and 4 negative validation patients. Selected components were therefore reported for every one of the 25 repeated outer fits: 7/17 limited models selected one component in at least one fit, 14/17 reached the ten-component ceiling, and 5 spanned both extremes.</w:t>
      </w:r>
    </w:p>
    <w:p>
      <w:r>
        <w:t>For the 17 limited models, median learning-curve balanced accuracy was 0.603, 0.640 and 0.636 at 50%, 75% and 100% of the outer-training data; median AUROC was 0.679, 0.730 and 0.738, and median PR-AUC was 0.304, 0.381 and 0.389. Median repeat score correlation was 0.674 in the limited subset versus 0.795 in the ≥50-per-class subset. Class-call agreement was also reported, but can appear high under marked imbalance and is not interpreted alone. Endpoint-level PR-AUC, TCGA-prevalence PPV/NPV, fold counts, component distributions, learning curves and stability are provided in Supplementary Table S10g and Figure S3.</w:t>
      </w:r>
    </w:p>
    <w:p>
      <w:pPr>
        <w:pStyle w:val="Heading2"/>
      </w:pPr>
      <w:r>
        <w:t>Permutation resolution and atlas-wide multiplicity sensitivity</w:t>
      </w:r>
    </w:p>
    <w:p>
      <w:r>
        <w:t>The primary within-cancer/family procedure identified 323 candidates. Of these, 321 passed BH within outcome type and endpoint family across cancers, 321 passed BH across all eligible tests within their outcome type, and 320 passed one BH correction across all 2,073 eligible continuous and binary atlas tests. The three local candidates not retaining atlas-wide q&lt;0.05 were READ genome doubling, OV–TP53 mutation and SKCM–BRAF mutation. The candidate count should therefore be read as a collection of locally controlled cancer-specific questions, with the atlas-wide result as a stricter sensitivity—not as if the primary procedure were one global 5% FDR analysis.</w:t>
      </w:r>
    </w:p>
    <w:p>
      <w:r>
        <w:t>Among completed 999-permutation tests, 308 had zero null statistics at least as extreme as observed. Their finite empirical p-value was 0.001, but the exact two-sided 95% Monte Carlo interval for the underlying exceedance probability was 0–0.003686. The prespecified high-resolution subset extended 8 leading models to 9,999 full nested permutations; 8 had zero exceedances and refined p-values were all 0.0001. The refined values are a targeted precision sensitivity and were not inserted into the primary FDR calculations. Because many primary p- and q-values remain tied at their attainable minimum, figures and tables are ordered by the outcome-appropriate predictive metric, with repeated stability and stability under grouping by TCGA tissue-source-site code reported alongside; q-values are not used for ranking.</w:t>
      </w:r>
    </w:p>
    <w:p>
      <w:pPr>
        <w:jc w:val="center"/>
      </w:pPr>
      <w:r>
        <w:drawing>
          <wp:inline xmlns:a="http://schemas.openxmlformats.org/drawingml/2006/main" xmlns:pic="http://schemas.openxmlformats.org/drawingml/2006/picture">
            <wp:extent cx="5806440" cy="4032250"/>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4032250"/>
                    </a:xfrm>
                    <a:prstGeom prst="rect"/>
                  </pic:spPr>
                </pic:pic>
              </a:graphicData>
            </a:graphic>
          </wp:inline>
        </w:drawing>
      </w:r>
    </w:p>
    <w:p>
      <w:pPr>
        <w:pStyle w:val="Caption"/>
        <w:jc w:val="center"/>
      </w:pPr>
      <w:r>
        <w:t>Figure 3. Eighteen strongest within-cancer screen-positive binary molecular predictions among the 87 models with at least 50 patients per class, ranked by primary screening balanced accuracy. Uniform point size and shortened labels reduce visual load; colour indicates endpoint family and symbols indicate across-cancer correction status. Complete BA, AUROC and PR-AUC results are in Supplementary Tables S6a, S7 and S10g. The 17 limited-evidence models appear in Figure S3.</w:t>
      </w:r>
    </w:p>
    <w:p>
      <w:r>
        <w:t>Precision–recall performance was reported for every screen-positive binary endpoint. Across all 104 models, median five-repeat PR-AUC was 0.592; each value should be read against its no-skill reference, the observed TCGA prevalence. The 13 mutation or fusion endpoints with prevalence below 0.20 had median prevalence 0.091, median PR-AUC 0.360 (range 0.196–0.452), despite median AUROC 0.790. This divergence illustrates why AUROC or balanced accuracy alone can overstate positive-class retrieval under low prevalence. Endpoint-level PR-AUC, prevalence, repeat variability and class counts are reported in Supplementary Tables S6a, S7 and S10g and the machine-readable registry.</w:t>
      </w:r>
    </w:p>
    <w:p>
      <w:pPr>
        <w:jc w:val="center"/>
      </w:pPr>
      <w:r>
        <w:drawing>
          <wp:inline xmlns:a="http://schemas.openxmlformats.org/drawingml/2006/main" xmlns:pic="http://schemas.openxmlformats.org/drawingml/2006/picture">
            <wp:extent cx="5806440" cy="2806446"/>
            <wp:docPr id="4" name="Picture 4"/>
            <wp:cNvGraphicFramePr>
              <a:graphicFrameLocks noChangeAspect="1"/>
            </wp:cNvGraphicFramePr>
            <a:graphic>
              <a:graphicData uri="http://schemas.openxmlformats.org/drawingml/2006/picture">
                <pic:pic>
                  <pic:nvPicPr>
                    <pic:cNvPr id="0" name="Figure4_prediction_examples.png"/>
                    <pic:cNvPicPr/>
                  </pic:nvPicPr>
                  <pic:blipFill>
                    <a:blip r:embed="rId14"/>
                    <a:stretch>
                      <a:fillRect/>
                    </a:stretch>
                  </pic:blipFill>
                  <pic:spPr>
                    <a:xfrm>
                      <a:off x="0" y="0"/>
                      <a:ext cx="5806440" cy="2806446"/>
                    </a:xfrm>
                    <a:prstGeom prst="rect"/>
                  </pic:spPr>
                </pic:pic>
              </a:graphicData>
            </a:graphic>
          </wp:inline>
        </w:drawing>
      </w:r>
    </w:p>
    <w:p>
      <w:pPr>
        <w:pStyle w:val="Caption"/>
        <w:jc w:val="center"/>
      </w:pPr>
      <w:r>
        <w:t>Figure 4. Examples comparing observed outcomes with held-out predictions. Panel A shows the strongest primary screening estimate from the initial patient-level nested-CV continuous screen (TGCT TGF-beta Response); each point is one patient's observed value and genuine held-out prediction. Panel B shows the binary model with the largest five-repeat mean balanced accuracy. Because independently fitted LDA scores need not share a raw scale, held-out scores are standardized within repeat before patient-level averaging for display; repeat-specific AUROCs use untransformed scores. These deliberately strong examples are illustrative, selection-conditioned internal TCGA results rather than external validation or calibration.</w:t>
      </w:r>
    </w:p>
    <w:p>
      <w:r>
        <w:t>Complete highlighted-model performance, uncertainty, class-size metrics and estimates grouped by TCGA tissue-source-site code are reported in Supplementary Table S6a and the machine-readable result files. The main text retains outcome-level summaries and illustrative figures.</w:t>
      </w:r>
    </w:p>
    <w:p>
      <w:pPr>
        <w:jc w:val="center"/>
      </w:pPr>
      <w:r>
        <w:drawing>
          <wp:inline xmlns:a="http://schemas.openxmlformats.org/drawingml/2006/main" xmlns:pic="http://schemas.openxmlformats.org/drawingml/2006/picture">
            <wp:extent cx="5806440" cy="3958936"/>
            <wp:docPr id="5" name="Picture 5"/>
            <wp:cNvGraphicFramePr>
              <a:graphicFrameLocks noChangeAspect="1"/>
            </wp:cNvGraphicFramePr>
            <a:graphic>
              <a:graphicData uri="http://schemas.openxmlformats.org/drawingml/2006/picture">
                <pic:pic>
                  <pic:nvPicPr>
                    <pic:cNvPr id="0" name="Figure5_supported_counts.png"/>
                    <pic:cNvPicPr/>
                  </pic:nvPicPr>
                  <pic:blipFill>
                    <a:blip r:embed="rId15"/>
                    <a:stretch>
                      <a:fillRect/>
                    </a:stretch>
                  </pic:blipFill>
                  <pic:spPr>
                    <a:xfrm>
                      <a:off x="0" y="0"/>
                      <a:ext cx="5806440" cy="3958936"/>
                    </a:xfrm>
                    <a:prstGeom prst="rect"/>
                  </pic:spPr>
                </pic:pic>
              </a:graphicData>
            </a:graphic>
          </wp:inline>
        </w:drawing>
      </w:r>
    </w:p>
    <w:p>
      <w:pPr>
        <w:pStyle w:val="Caption"/>
        <w:jc w:val="center"/>
      </w:pPr>
      <w:r>
        <w:t>Figure 5. Breadth and family of screen-positive targets in the 20 cancers with the largest candidate counts. Restricting the display improves label size; complete cancer-level counts are in Supplementary Table S1. Absence of a target is distinct from a tested screen-negative result.</w:t>
      </w:r>
    </w:p>
    <w:p>
      <w:pPr>
        <w:pStyle w:val="Heading2"/>
      </w:pPr>
      <w:r>
        <w:t>Metadata-stratified linear-model comparison</w:t>
      </w:r>
    </w:p>
    <w:p>
      <w:r>
        <w:t>The deterministic representative benchmark contained 35 binary and 12 continuous targets selected from all eligible tests without reference to PLS performance; 14/47 happened to be screen-positive. For binary targets, the median ridge-minus-PLS AUROC difference was 0.008 (IQR -0.002 to 0.027); ridge had a selection-conditioned paired patient-resampling interval above zero for 8 models, PLS for 0, and 27 AUROC differences were uncertain. With the same inner-CV balanced-accuracy threshold rule applied to both methods, the median ridge-minus-PLS balanced-accuracy difference was 0.012 (IQR 0.005 to 0.025); ridge had a selection-conditioned paired patient-resampling interval above zero for 4 models, PLS for 0, and 31 were uncertain. For continuous targets, the median ridge-minus-PLS Q² difference was 0.053 (IQR 0.031 to 0.136); ridge was favoured for 10, PLS for 0, and 2 were uncertain. For continuous Spearman correlation, ridge was favoured for 3, PLS for 2 and 7 were uncertain. Thus the benchmark did not establish PLS superiority and more often favoured ridge, especially for continuous Q². These are representative paired comparisons rather than multiplicity-controlled algorithm discoveries or an atlas-wide ridge screen.</w:t>
      </w:r>
    </w:p>
    <w:p>
      <w:pPr>
        <w:pStyle w:val="Heading2"/>
      </w:pPr>
      <w:r>
        <w:t>Sensitivity to TCGA tissue-source-site-code grouping</w:t>
      </w:r>
    </w:p>
    <w:p>
      <w:r>
        <w:t xml:space="preserve">Internal validation grouped by TCGA tissue-source-site code was feasible for 323 screen-positive models. Although the median grouped-minus-random performance change was only -0.026, 83/323 models (25.7%) fell below the original prespecified screening threshold: 58/219 continuous models and 25/104 binary models. Prominent attenuations were READ–APC (balanced accuracy 0.862 to 0.495); COAD–APC (balanced accuracy 0.793 to 0.543); PCPG–Cell Cycle (balanced accuracy 0.686 to 0.476); LIHC–CTNNB1 (balanced accuracy 0.668 to 0.565); OV–TCR Shannon (Q² 0.206 to -0.551); COAD–SNV Neoantigens (Q² 0.239 to -0.013). Folds grouped by TCGA tissue-source-site code contain fewer and less evenly distributed training and test patients, so the decline cannot be attributed solely to confounding by that code; nevertheless, the near-chance colorectal APC results are not adequately summarised by the median and are prominently labelled as sensitive to TCGA tissue-source-site-code grouping in the registry and research-software output. </w:t>
      </w:r>
    </w:p>
    <w:p>
      <w:r>
        <w:t>Across 1,613 outer folds, test partitions contained 1–445 patients and 1–9 TCGA tissue-source-site codes; binary folds contained 0–130 positive and 0–269 negative patients. These imbalances are intrinsic to keeping complete code groups together and are reported model by model and fold by fold. The deterministic fold audit confirmed that no TCGA tissue-source-site code crossed an outer fold and that the same separation was maintained in every inner component-selection split.</w:t>
      </w:r>
    </w:p>
    <w:p>
      <w:r>
        <w:t>The dedicated within-cancer TCGA tissue-source-site-code classification analysis was evaluable in 27/32 cancers and included 7,863 patients from codes represented by at least 10 patients. All 27 observed macro balanced accuracies exceeded their cancer-specific 1/k chance reference; the median was 0.628 (range 0.425–0.966). The strongest chance-normalised code predictability occurred in UVM (macro balanced accuracy 0.966; 3 codes); OV (macro balanced accuracy 0.963; 2 codes); PAAD (macro balanced accuracy 0.911; 5 codes); ESCA (macro balanced accuracy 0.861; 7 codes); READ (macro balanced accuracy 0.862; 5 codes). ACC, CHOL, DLBC, MESO and UCS had fewer than two codes meeting the 10-patient requirement and were reported as ineligible. This result shows substantial TCGA tissue-source-site-code information in the fixed TITAN representation and strengthens the confounding concern; it does not identify a causal scanner, laboratory or staining effect.</w:t>
      </w:r>
    </w:p>
    <w:p>
      <w:pPr>
        <w:jc w:val="center"/>
      </w:pPr>
      <w:r>
        <w:drawing>
          <wp:inline xmlns:a="http://schemas.openxmlformats.org/drawingml/2006/main" xmlns:pic="http://schemas.openxmlformats.org/drawingml/2006/picture">
            <wp:extent cx="5806440" cy="4569002"/>
            <wp:docPr id="6" name="Picture 6"/>
            <wp:cNvGraphicFramePr>
              <a:graphicFrameLocks noChangeAspect="1"/>
            </wp:cNvGraphicFramePr>
            <a:graphic>
              <a:graphicData uri="http://schemas.openxmlformats.org/drawingml/2006/picture">
                <pic:pic>
                  <pic:nvPicPr>
                    <pic:cNvPr id="0" name="Figure6_site_grouped_sensitivity.png"/>
                    <pic:cNvPicPr/>
                  </pic:nvPicPr>
                  <pic:blipFill>
                    <a:blip r:embed="rId16"/>
                    <a:stretch>
                      <a:fillRect/>
                    </a:stretch>
                  </pic:blipFill>
                  <pic:spPr>
                    <a:xfrm>
                      <a:off x="0" y="0"/>
                      <a:ext cx="5806440" cy="4569002"/>
                    </a:xfrm>
                    <a:prstGeom prst="rect"/>
                  </pic:spPr>
                </pic:pic>
              </a:graphicData>
            </a:graphic>
          </wp:inline>
        </w:drawing>
      </w:r>
    </w:p>
    <w:p>
      <w:pPr>
        <w:pStyle w:val="Caption"/>
        <w:jc w:val="center"/>
      </w:pPr>
      <w:r>
        <w:t>Figure 6. Sensitivity to TCGA tissue-source-site-code grouping as a principal result. Panel A compares all 323 random-fold estimates with estimates grouped by TCGA tissue-source-site code; Panel B shows the eight largest attenuations; Panel C shows the 15 strongest chance-normalised within-cancer code-classification results. Larger typography and restricted ranked panels improve readability. This grouping remains internal to TCGA; the code is not an institutional, scanner or laboratory identifier, and the analysis is not external validation.</w:t>
      </w:r>
    </w:p>
    <w:p>
      <w:pPr>
        <w:pStyle w:val="Heading2"/>
      </w:pPr>
      <w:r>
        <w:t>Multiple-slide sensitivity</w:t>
      </w:r>
    </w:p>
    <w:p>
      <w:r>
        <w:t>Replacing each deterministic patient mean with the lexicographically first eligible diagnostic slide produced a median first-slide-minus-mean-pool performance change of -0.001 across screen-positive models. This patient-level sensitivity is distinct from the analysis grouped by TCGA tissue-source-site code.</w:t>
      </w:r>
    </w:p>
    <w:p>
      <w:pPr>
        <w:pStyle w:val="Heading2"/>
      </w:pPr>
      <w:r>
        <w:t>Qualitative morphology context</w:t>
      </w:r>
    </w:p>
    <w:p>
      <w:r>
        <w:t>Five representative models were examined using high/low repeated out-of-fold anchors and their nearest within-cancer patient-level TITAN neighbours. The anchors were BLCA–TIL Regional Fraction: high TCGA-FD-A5BS, low TCGA-BL-A0C8; TGCT–Macrophages M2: high TCGA-YU-A94D, low TCGA-2G-AAF6; BRCA–Wound Healing: high TCGA-AR-A1AH, low TCGA-E9-A5UO; UCEC–Aneuploidy score: high TCGA-AJ-A23M, low TCGA-D1-A1NS; THYM–GTF2I: high TCGA-ZB-A96H, low TCGA-4V-A9QS. Exact slide identifiers, observed values, original prediction values, prediction ranks, embedding cosine similarities and generated-report excerpts are reported in Supplementary Table S14 and the machine-readable file; Figure S4 places all held-out patients behind the selected examples. The BLCA TIL Regional Fraction example is explicitly a same-H&amp;E-modality concordance control. The remaining examples provide descriptive embedding context only. No patch-level attribution or blinded pathologist interpretation was possible from the released global embeddings and automated reports.</w:t>
      </w:r>
    </w:p>
    <w:p>
      <w:pPr>
        <w:pStyle w:val="Heading2"/>
      </w:pPr>
      <w:r>
        <w:t>External-validation readiness audit</w:t>
      </w:r>
    </w:p>
    <w:p>
      <w:r>
        <w:t>No non-TCGA patient entered model evaluation, and no external performance result is reported. The official TITAN release provided the precomputed TCGA representation used here, but the audit did not identify a compatible non-TCGA TITAN embedding set carrying the required outcomes. CPTAC-UCEC is a plausible future cohort: its official TCIA collection reports 250 subjects, 887 pathology whole-slide images (approximately 154 GB) and links to genomic, proteomic and clinical resources [36]. Those slides were not downloaded or processed in this study, and the availability of linked data does not by itself guarantee exact reconstruction of each endpoint.</w:t>
      </w:r>
    </w:p>
    <w:p>
      <w:r>
        <w:t>Three UCEC targets—TP53 mutation, genome doubling and continuous aneuploidy score—were prospectively locked for future independent evaluation, but no external result is available. Target definitions, internal estimates, artifact hashes, endpoint-compatibility rules and mandatory failure reporting are provided in Supplementary Table S6c and the software documentation.</w:t>
      </w:r>
    </w:p>
    <w:p>
      <w:pPr>
        <w:pStyle w:val="Heading2"/>
      </w:pPr>
      <w:r>
        <w:t>Illustrative COAD output</w:t>
      </w:r>
    </w:p>
    <w:p>
      <w:r>
        <w:t>The fitted-model resource was implemented as research software; construction, model inventory, checksums, score-rank definitions, reliability warnings, input validation and report behaviour are described in Supplementary Methods, Tables S6b–S6c and S13, and the package documentation [32].</w:t>
      </w:r>
    </w:p>
    <w:p>
      <w:r>
        <w:t>Two COAD participants, TCGA-AA-A01F and TCGA-AA-3972, are retained solely to show continuous and binary research-software outputs (Figure 7). The pair was chosen post hoc after clinical-text and profile-saturation restrictions and then maximising Euclidean separation across continuous TCGA OOF prediction percentiles; the procedure intentionally enhances visual contrast. Nodal status was not matched: TCGA-AA-A01F was reported as pN1, whereas the available slide summary for TCGA-AA-3972 did not state a nodal category. The cases are not presented as a matched clinical comparison, and treatment, response, recurrence, follow-up and survival are neither shown nor interpreted. This is a visualization example, not performance, prevalence, prognosis or treatment-response evidence.</w:t>
      </w:r>
    </w:p>
    <w:p>
      <w:pPr>
        <w:jc w:val="center"/>
      </w:pPr>
      <w:r>
        <w:drawing>
          <wp:inline xmlns:a="http://schemas.openxmlformats.org/drawingml/2006/main" xmlns:pic="http://schemas.openxmlformats.org/drawingml/2006/picture">
            <wp:extent cx="6126480" cy="5039524"/>
            <wp:docPr id="7" name="Picture 7"/>
            <wp:cNvGraphicFramePr>
              <a:graphicFrameLocks noChangeAspect="1"/>
            </wp:cNvGraphicFramePr>
            <a:graphic>
              <a:graphicData uri="http://schemas.openxmlformats.org/drawingml/2006/picture">
                <pic:pic>
                  <pic:nvPicPr>
                    <pic:cNvPr id="0" name="Figure7_COAD_TITANPred_examples.png"/>
                    <pic:cNvPicPr/>
                  </pic:nvPicPr>
                  <pic:blipFill>
                    <a:blip r:embed="rId17"/>
                    <a:stretch>
                      <a:fillRect/>
                    </a:stretch>
                  </pic:blipFill>
                  <pic:spPr>
                    <a:xfrm>
                      <a:off x="0" y="0"/>
                      <a:ext cx="6126480" cy="5039524"/>
                    </a:xfrm>
                    <a:prstGeom prst="rect"/>
                  </pic:spPr>
                </pic:pic>
              </a:graphicData>
            </a:graphic>
          </wp:inline>
        </w:drawing>
      </w:r>
    </w:p>
    <w:p>
      <w:pPr>
        <w:pStyle w:val="Caption"/>
        <w:jc w:val="center"/>
      </w:pPr>
      <w:r>
        <w:t>Figure 7. Post hoc TITANPred research-software visualization for two COAD participants. Panel A replaces separate radar plots with a common-scale dumbbell comparison of continuous TCGA OOF ranks; the right column preserves each original prediction. Panel B compares PLS-LDA score ranks and calls with development class counts. All ranks are explicitly not probabilities. The pair was selected after clinical-text and saturation restrictions by maximising continuous-profile separation, intentionally enhancing contrast. Treatment and outcomes are not displayed. This is an interface illustration, not external validation or representative case sampling.</w:t>
      </w:r>
    </w:p>
    <w:p>
      <w:pPr>
        <w:pStyle w:val="Heading1"/>
      </w:pPr>
      <w:r>
        <w:t>Discussion</w:t>
      </w:r>
    </w:p>
    <w:p>
      <w:r>
        <w:t>This study is best interpreted as a systematic patient-level benchmark and reusable fitted-model resource, not as the first pan-cancer molecular-prediction study or a catalogue of unprecedented mutation targets. It answers a target-by-target, cancer-specific question using one fixed pretrained TITAN representation. Selected immune programmes, mutations and higher-level genomic phenotypes were predictable, but most eligible pairs did not satisfy both multiplicity and prespecified screening-statistic thresholds. That heterogeneity—and transparent negative and ineligible reporting—is the primary empirical result. The primary analysis controls local cancer-specific families; it does not attach one global 5% FDR interpretation to the aggregate 323 candidates. In sensitivity analyses, 219 continuous and 39 mutation pairs passed the across-cancer family correction, and 320/323 local candidates passed a single BH correction across all eligible atlas tests. These large counts partly reflect extensive ties at the 0.001 empirical-p floor: a zero-exceedance 999-permutation result still has a 95% Monte Carlo interval extending to 0.003686. The 9,999-permutation refinement sharpened precision for eight leading claims but does not resolve the entire atlas or justify ranking by q-value; outcome-appropriate predictive magnitude and stability remain the appropriate ordering criteria.</w:t>
      </w:r>
    </w:p>
    <w:p>
      <w:r>
        <w:t>The closest breadth comparator is Arslan et al., who already trained 12,093 target-specific models for 4,031 multi-omic biomarkers in 8,890 TCGA patients across the same 32 cancers [13]. The present study is smaller in endpoint breadth and lacks external validation. Its differentiating elements are the fixed pretrained representation, deterministic pre-outcome patient aggregation, nested patient-level validation, complete tested-negative and ineligible outputs, target-level sensitivity to grouping by TCGA tissue-source-site code, continuous modelling of selected immune and genomic-context measures, and distribution of compact fitted linear predictors. These distinctions—not breadth or endpoint novelty—motivate the study.</w:t>
      </w:r>
    </w:p>
    <w:p>
      <w:r>
        <w:t>The relevant literature spans substantially different validation settings and metrics. For MSI, Kather et al. reported external AUROCs of 0.84 (95% CI 0.72–0.92) in DACHS colorectal cancer and 0.69 (0.52–0.82) in an external gastric cohort, whereas Echle et al. reported an external dMMR AUROC of 0.96 in a 771-case cohort [2,3]. For fusion prediction, Dadhania et al. reported ERG AUROCs of 0.82–0.85, and Mayer et al. reported 100% sensitivity with 100% and 98.6% specificity for ALK and ROS1, respectively, in a small external set [9,10]. Saldanha et al. externally evaluated mutation models in CPTAC, Bergstrom et al. reported external breast HRD AUROC 0.76 (0.71–0.82), and HistoTME reported mean external cell-composition correlation 0.50 and immunotherapy-response AUROC 0.75 (0.61–0.88) [11,14,15]. These externally tested results set a stronger validation standard than the internal TCGA estimates presented here; metric, endpoint and cohort differences preclude claims of direct superiority.</w:t>
      </w:r>
    </w:p>
    <w:p>
      <w:r>
        <w:t>The expanded primary-study audit substantially changes the novelty interpretation. 38/41 screen-positive cancer–gene pairs had already received statistical support in reviewed histology-prediction studies, including pooled colorectal evidence mapped to both COAD and READ where appropriate. Examples include LGG–CIC (prior mean AUROC 0.836, current balanced accuracy 0.779), LGG–ATRX (prior mean AUROC 0.816), THCA–NRAS (0.809), LIHC–BAP1 (0.825), PAAD–TP53 (0.672) and KIRC–VHL (0.631) [13]. Prior studies generally reported AUROC, whereas the present primary metric is balanced accuracy; these values are contextual and are not estimates of improvement or inferiority.</w:t>
      </w:r>
    </w:p>
    <w:p>
      <w:r>
        <w:t>Two current screen-positive pairs had been evaluated but were not statistically supported in the reviewed 2024 study: BLCA–PIK3CA (prior mean AUROC 0.588, corrected p=0.058; current balanced accuracy 0.601) and SKCM–BRAF (prior mean AUROC 0.579, corrected p=0.286; current balanced accuracy 0.626). Only THYM–GTF2I was not identified in the reviewed predictive-model literature; a strong direct GTF2I–thymoma morphology association is already established, so this result is presented as a prediction candidate requiring independent validation rather than a claim of biological novelty. The OV–TP53 entry is supported by a 2025 preprint reporting AUROC 0.82±0.02 and is labelled as preliminary evidence rather than peer-reviewed external validation [34]. The GTF2I morphology association itself was reported by Wells et al. [35]. Supplementary Table S10a and the machine-readable audit give the evidence scope, prior metric, source and note for every screen-positive pair.</w:t>
      </w:r>
    </w:p>
    <w:p>
      <w:r>
        <w:t>External results also caution against equating internal discrimination with transportability. For PAAD–TP53, the current TCGA balanced accuracy was 0.619 and Arslan et al. reported mean internal AUROC 0.672, whereas Saldanha et al. reported internal AUROC 0.554 and external CPTAC AUROC 0.443±0.064 [11,13]. Differences can arise from cohort composition, slide preparation, mutation definition, model class and validation design. The present result therefore supports further locked external testing, not clinical application.</w:t>
      </w:r>
    </w:p>
    <w:p>
      <w:r>
        <w:t>The non-mutation endpoints extend the analysis beyond the exact cancer–gene pairs used for the literature crosswalk, but they must not be collapsed under the phrase 'immune measurements'. Direct sequence-supported alterations, sequencing-derived burdens, inferred immune-cell fractions, transcriptomic signatures, pathology-derived quantities and composite genomic-context scores have different error models and biological meanings. In particular, prediction of a CIBERSORT fraction or RNA signature is agreement with a computational phenotype derived from a bulk specimen; it is not equivalent to flow cytometry, immunohistochemistry, a direct cell count or a clinically certified biomarker. TIL Regional Fraction is an even more specific same-modality case because both predictor and target originate from H&amp;E. Its result is best interpreted as concordance between two image-derived summaries rather than molecular inference.</w:t>
      </w:r>
    </w:p>
    <w:p>
      <w:r>
        <w:t>For continuous outcomes, prior work predicted RNA expression [6], tumour composition [4], continuous HRD and microenvironment features [12], and externally evaluated tumour-microenvironment composition in non-small cell lung cancer [15]. The present study instead screens the prespecified Thorsson-derived panel, genomic-context scores, MSI scores, fusion burden and aneuploidy burdens across eligible TCGA cancers using the same patient-level validation design. Only 219 continuous pairs passed the stricter across-cancer correction; the others should be treated as endpoint- and cancer-specific nominations, not as replications of the external HistoTME results or as evidence of general immune profiling.</w:t>
      </w:r>
    </w:p>
    <w:p>
      <w:r>
        <w:t>The contribution is therefore not that TITAN plus PLS is an optimal algorithmic combination. It is the uniform, auditable patient-level screen over prespecified outcomes using one fixed representation, complete negative reporting and compact fitted reference models. PLS1 and PLS–LDA remain the prespecified reference analysis, but the released PLS objects should not be interpreted as the best available models.</w:t>
      </w:r>
    </w:p>
    <w:p>
      <w:r>
        <w:t>The metadata-stratified benchmark directly weakens any stronger PLS claim. Selection depended only on outcome family, sample size, binary minority-class fraction and a fixed hash, not on PLS performance. Both algorithms used matched outer and inner folds; continuous hyperparameters maximised the same pooled inner Q² and binary thresholds maximised the same inner balanced accuracy. Median ridge-minus-PLS differences were 0.008 AUROC and 0.053 Q². Paired intervals favoured ridge for 8/35 binary and 10/12 continuous targets, PLS for none, and were otherwise uncertain. Portability cannot justify PLS over ridge because both yield compact exportable parameters. We did not replace the locked primary analysis or add post hoc method switching; instead, we report PLS as the prespecified reference and make clear that future model-resource development should compare locked PLS and ridge candidates in independent cohorts.</w:t>
      </w:r>
    </w:p>
    <w:p>
      <w:r>
        <w:t>PLS2 addresses a different question. Its mean cancer-level ΔQ² relative to response-by-response PLS1 was 0.066 for inferred cell fractions, 0.017 for infiltration signatures and 0.056 for immune-repertoire measures, supporting shared inflammatory structure. It remains secondary because each joint fit uses only the complete-case intersection for a coherent continuous response block, shares one latent representation across a fixed ordered panel and cannot replace individual mutation, pathway, MSI, aneuploidy or fusion classifiers. The positive internal averages therefore nominate PLS2 for a future locked multiresponse immune resource; they do not establish a generally preferable main model without external validation and a matched multiresponse baseline.</w:t>
      </w:r>
    </w:p>
    <w:p>
      <w:r>
        <w:t>The prespecified 20-per-class rule supported an inclusive atlas screen, but it was too permissive for presenting every selected binary model as equally mature. Only 87/104 screen-positive binary models met the stricter 50-per-class criterion. The 17 smaller-class models had sparse inner validation folds, frequently selected components across a wide range and showed lower median repeat score correlation than the ≥50-per-class group. Their learning curves showed no uniformly monotonic performance gain, illustrating that the available data cannot establish a stable sample-size plateau. We therefore retain them only as transparently reported exploratory results and exclude them from default inference. PR-AUC adds prevalence-aware discrimination information, whereas PPV and NPV are explicitly conditional on each analysed TCGA prevalence and should not be exported to another population. High call agreement under imbalance can be misleading and does not supersede score stability, sensitivity, PR-AUC or external validation.</w:t>
      </w:r>
    </w:p>
    <w:p>
      <w:r>
        <w:t>Sensitivity to grouping by TCGA tissue-source-site code is a central result rather than a generic robustness footnote. Grouping revealed heterogeneity that the median attenuation concealed: 83/323 screen-positive models (25.7%) fell below their original prespecified screening threshold. READ–APC and COAD–APC declined from balanced accuracies 0.862 and 0.793 to 0.495 and 0.543, respectively. Smaller and less balanced training folds contribute to grouped-validation loss, but performance close to chance requires these models to carry a prominent warning rather than be described as robust biological signals. The model registry and inference output therefore expose the grouped metric, delta, number of TCGA tissue-source-site codes, threshold-retention status and warning for every affected endpoint.</w:t>
      </w:r>
    </w:p>
    <w:p>
      <w:r>
        <w:t>The complementary TCGA tissue-source-site-code classification analysis strengthens this interpretation: the fixed TITAN representation predicted the code within 27/32 evaluable cancers, with median macro balanced accuracy 0.628 despite cancer-specific chance references from 0.053 to 0.500. This demonstrates that information about the TCGA tissue-source-site code is present in the representation and could support confounding. It does not show that each attenuated molecular model is wholly artifactual, because the code correlates with case mix and molecular prevalence as well as technical acquisition. Conversely, successful grouping by TCGA tissue-source-site code cannot prove transportability: the barcode-derived code is not an institution, scanner, staining laboratory or batch identifier.</w:t>
      </w:r>
    </w:p>
    <w:p>
      <w:r>
        <w:t>A further practical feature is data-minimising model portability. Preprocessing values, latent weights and coefficients are sufficient for continuous prediction, with compact LDA parameters added for binary classification. The access-controlled TITANPred package applies cancer-matched models to correctly ordered TITAN features without requiring the original patient embeddings or outcomes [32]. Its current private status is stated explicitly; the manuscript makes no public-artifact availability claim. This design reduces the patient-level data that would need to be exchanged in authorised research, although it does not itself confer privacy, satisfy local governance requirements or establish transportability. The synthetic smoke-test vector supports routine interface testing without creating a patient narrative. The two main-text COAD examples remain explicitly post hoc and cannot provide new accuracy, prognosis or response-prediction evidence.</w:t>
      </w:r>
    </w:p>
    <w:p>
      <w:r>
        <w:t>Strengths include primary-tumour matching across every data source, deterministic mean pooling of multiple slides, nested patient-level validation, FDR control within cancer and endpoint family, exact negative-result reporting, sensitivity analysis grouped by TCGA tissue-source-site code,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resampling—including the analysis termed 'internal validation grouped by TCGA tissue-source-site code'—cannot establish transportability to another institution, scanner, stain distribution or patient population. The TCGA tissue-source-site code is not an institution, scanner or laboratory identifier. The study is retrospective and exploratory; thresholds are prioritisation rules, not clinical operating points. Although TCGA was excluded from TITAN's Mass-340K pretraining corpus, it was used in the original paper's downstream evaluation; the present cohort is therefore neither a pretraining cohort nor an independent validation cohort. Predictability does not establish biological causality, and image-derived estimates cannot justify omitting a molecular assay. The three-model UCEC subset is locked only for future independent evaluation. Until that untouched analysis reports every target, the work should be evaluated as a computational pathology benchmark and research-software resource rather than a translational prediction study.</w:t>
      </w:r>
    </w:p>
    <w:p>
      <w:r>
        <w:t>CPTAC-UCEC illustrates both feasibility and the remaining work: the official collection provides pathology images and links to molecular data, but the approximately 154-GB slide archive requires de novo TITAN extraction and exact outcome harmonisation [36]. Neither the slides nor external labels were inspected here. The locked protocol prohibits model refitting, recalibration and threshold changes; mandates the same patient-level pooling; and requires failure or non-evaluability to be reported. This protocol improves readiness and guards against post hoc target selection, but it is not external validation evidence.</w:t>
      </w:r>
    </w:p>
    <w:p>
      <w:r>
        <w:t>The reported uncertainty is deliberately labelled a 95% selection-conditioned patient-resampling interval for repeated out-of-fold predictions. It represents patient sampling variability conditional on the five fitted nested-CV prediction sets and incorporates the five repeat-specific metrics into each bootstrap calculation. It does not repeat the initial screen or highlighting decision, generate new fold partitions, re-estimate scaling, reselect components, refit a model, correct winner's-curse optimism, or sample a new institution, scanner, staining process or population. It is therefore not a conventional confidence interval for model generalisation or an external-performance interval; locked-model evaluation in an untouched cohort is required for transportability assessment.</w:t>
      </w:r>
    </w:p>
    <w:p>
      <w:r>
        <w:t>Arithmetic mean pooling gives each eligible slide equal weight and prevents multiple-slide leakage, but it does not model variable tissue area or within-patient morphological heterogeneity. The first-slide sensitivity measures dependence on one deterministic alternative and should not be interpreted as a comparison with learned or tissue-area-weighted aggregation.</w:t>
      </w:r>
    </w:p>
    <w:p>
      <w:r>
        <w:t>The 768-dimensional TITAN representation is not morphologically self-explanatory. The new high/low anchor and within-cancer nearest-neighbour analysis places representative predictions in the context of globally similar patient embeddings and preserves exact slide/report provenance, but it cannot determine which patch or tissue compartment drove a prediction. The available TCGA-Slide-Reports text was generated by TITAN from the same slides and is neither an independent annotation nor a blinded pathologist review. Consequently, descriptive terms such as lymphoid infiltrate, stromal pattern or necrosis are hypotheses for future review, not validated mechanisms. Tile-level representations or relevance maps retained prospectively, followed by blinded pathologist assessment, are required before morphological explanations can be claimed.</w:t>
      </w:r>
    </w:p>
    <w:p>
      <w:r>
        <w:t>Demographic subgroup performance and algorithmic fairness were not evaluated. The TCGA Clinical Data Resource provides descriptive age, recorded gender, race and stage fields, but coverage and subgroup sizes vary across cancers and would fragment further under endpoint-specific molecular missingness. Grouping by TCGA tissue-source-site code probes one source of heterogeneity but does not directly identify an institution and cannot establish fairness across ancestry, sex, age or access-to-care groups. Any external evaluation should prespecify representative sampling and subgroup performance, calibration and failure analysis.</w:t>
      </w:r>
    </w:p>
    <w:p>
      <w:pPr>
        <w:pStyle w:val="Heading1"/>
      </w:pPr>
      <w:r>
        <w:t>Conclusions</w:t>
      </w:r>
    </w:p>
    <w:p>
      <w:r>
        <w:t>Using mean-pooled fixed pretrained TITAN representations, this study provides a systematic patient-level TCGA benchmark of direct genomic alterations and derived immune, genomic-context, MSI, aneuploidy and fusion phenotypes. The access-controlled TITANPred package demonstrates how fitted PLS and PLS–LDA objects can be applied without distributing patient-level training data. Its default interface includes all 219 continuous models and the 87 binary models meeting at least 50 patients per class; 17 smaller-class binary models require explicit exploratory opt-in. All reported performance and example outputs are internally derived TCGA estimates. Prediction of a computationally inferred target is not evidence that a direct assay has been reproduced, and the qualitative neighbour examples are not patch-level explanation. The contribution is a transparent computational pathology benchmark and research-software framework—not broad endpoint novelty, external performance evidence or clinical validation—and locked independent testing remains essential.</w:t>
      </w:r>
    </w:p>
    <w:p>
      <w:pPr>
        <w:pStyle w:val="Heading1"/>
      </w:pPr>
      <w:r>
        <w:t>Abbreviations</w:t>
      </w:r>
    </w:p>
    <w:p>
      <w:r>
        <w:t>AUROC, area under the receiver operating characteristic curve; BA, balanced accuracy; CV, cross-validation; FDR, false discovery rate; H&amp;E, haematoxylin and eosin; LDA, linear discriminant analysis; MC3, Multi-Center Mutation Calling in Multiple Cancers; MSI, microsatellite instability; OOF, out-of-fold; PLS, partial least squares; PLS1, single-response PLS; PLS2, multi-response PLS; Q², cross-validated coefficient of determination; RMSE, root-mean-square error; TCGA, The Cancer Genome Atlas.</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Study registration and protocol</w:t>
      </w:r>
    </w:p>
    <w:p>
      <w:r>
        <w:t>This retrospective secondary analysis was not registered. The locked executable analysis plan is available in the companion repository [30].</w:t>
      </w:r>
    </w:p>
    <w:p>
      <w:pPr>
        <w:pStyle w:val="Heading2"/>
      </w:pPr>
      <w:r>
        <w:t>Patient and public involvement</w:t>
      </w:r>
    </w:p>
    <w:p>
      <w:r>
        <w:t>Patients and members of the public were not involved in the design, conduct, interpretation or reporting of this secondary analysis.</w:t>
      </w:r>
    </w:p>
    <w:p>
      <w:pPr>
        <w:pStyle w:val="Heading2"/>
      </w:pPr>
      <w:r>
        <w:t>Availability of data and materials</w:t>
      </w:r>
    </w:p>
    <w:p>
      <w:r>
        <w:t>The analysis used the gated public TITAN TCGA feature artifact TCGA_TITAN_features.pkl, downloaded from https://huggingface.co/MahmoodLab/TITAN/blob/main/TCGA_TITAN_features.pkl and converted to the documented 768-feature CSV schema with tools/convert_tcga_titan_pickle.py in the companion repository [30]. The analysed CSV contained 11,658 slide rows (SHA-256 d3d91fb0f83a6de440eda5ff437a63e3ca13f50095e6841fb8efcc40e58763f0). TCGA molecular data and the cited public supplementary records remain available from their original repositories. Exact source locations, access conditions and checksums are recorded in the companion repository. Controlled-access whole-slide images are not redistributed. The model registry, hashes, inference example and future external-evaluation protocol are in the public analysis repository. The separate TITANPred package and 323 fitted research objects are currently maintained in a private access-controlled repository [32]; this manuscript does not claim that those artifacts are publicly downloadable.</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Additional files</w:t>
      </w:r>
    </w:p>
    <w:p>
      <w:r>
        <w:t>Additional file 1 (.docx): Supplementary material. Contains Supplementary Methods, Tables S1–S14, Figures S1–S4 and an inventory of the companion machine-readable result files.</w:t>
      </w:r>
    </w:p>
    <w:p>
      <w:r>
        <w:t>Additional file 2 (.pdf): COAD example A (TCGA-AA-A01F) TITANPred research-software output. Post hoc supplementary interface illustration containing internally derived full-cohort TCGA estimates; not probability-calibrated or externally validated.</w:t>
      </w:r>
    </w:p>
    <w:p>
      <w:r>
        <w:t>Additional file 3 (.pdf): COAD example B (TCGA-AA-3972) TITANPred research-software output. Post hoc supplementary interface illustration containing internally derived full-cohort TCGA estimates; not probability-calibrated or externally validated.</w:t>
      </w:r>
    </w:p>
    <w:p>
      <w:pPr>
        <w:pStyle w:val="Heading1"/>
      </w:pPr>
      <w:r>
        <w:t>References</w:t>
      </w:r>
    </w:p>
    <w:p>
      <w:r>
        <w:t>1. Coudray N, et al. Classification and mutation prediction from non-small cell lung cancer histopathology images using deep learning. Nat Med. 2018;24:1559–1567. doi:10.1038/s41591-018-0177-5.</w:t>
      </w:r>
    </w:p>
    <w:p>
      <w:r>
        <w:t>2. Kather JN, et al. Deep learning can predict microsatellite instability directly from histology in gastrointestinal cancer. Nat Med. 2019;25:1054–1056. doi:10.1038/s41591-019-0462-y.</w:t>
      </w:r>
    </w:p>
    <w:p>
      <w:r>
        <w:t>3. Echle A, et al. Clinical-grade detection of microsatellite instability in colorectal tumors by deep learning. Gastroenterology. 2020;159:1406–1416.e11. doi:10.1053/j.gastro.2020.06.021.</w:t>
      </w:r>
    </w:p>
    <w:p>
      <w:r>
        <w:t>4. Fu Y, et al. Pan-cancer computational histopathology reveals mutations, tumor composition and prognosis. Nat Cancer. 2020;1:800–810. doi:10.1038/s43018-020-0085-8.</w:t>
      </w:r>
    </w:p>
    <w:p>
      <w:r>
        <w:t>5. Kather JN, et al. Pan-cancer image-based detection of clinically actionable genetic alterations. Nat Cancer. 2020;1:789–799. doi:10.1038/s43018-020-0087-6.</w:t>
      </w:r>
    </w:p>
    <w:p>
      <w:r>
        <w:t>6. Schmauch B, et al. A deep learning model to predict RNA-Seq expression of tumours from whole slide images. Nat Commun. 2020;11:3877. doi:10.1038/s41467-020-17678-4.</w:t>
      </w:r>
    </w:p>
    <w:p>
      <w:r>
        <w:t>7. Howard FM, et al. The impact of site-specific digital histology signatures on deep learning model accuracy and bias. Nat Commun. 2021;12:4423. doi:10.1038/s41467-021-24698-1.</w:t>
      </w:r>
    </w:p>
    <w:p>
      <w:r>
        <w:t>8. Loeffler CML, et al. Predicting mutational status of driver and suppressor genes directly from histopathology with deep learning. Front Genet. 2022;12:806386. doi:10.3389/fgene.2021.806386.</w:t>
      </w:r>
    </w:p>
    <w:p>
      <w:r>
        <w:t>9. Dadhania V, et al. Leveraging artificial intelligence to predict ERG gene fusion status in prostate cancer. BMC Cancer. 2022;22:494. doi:10.1186/s12885-022-09559-4.</w:t>
      </w:r>
    </w:p>
    <w:p>
      <w:r>
        <w:t>10. Mayer C, et al. Direct identification of ALK and ROS1 fusions in non-small cell lung cancer from hematoxylin and eosin-stained slides using deep learning algorithms. Mod Pathol. 2022;35:1882–1887. doi:10.1038/s41379-022-01141-4.</w:t>
      </w:r>
    </w:p>
    <w:p>
      <w:r>
        <w:t>11. Saldanha OL, et al. Self-supervised attention-based deep learning for pan-cancer mutation prediction from histopathology. npj Precis Oncol. 2023;7:35. doi:10.1038/s41698-023-00365-0.</w:t>
      </w:r>
    </w:p>
    <w:p>
      <w:r>
        <w:t>12. El Nahhas OSM, et al. Regression-based deep-learning predicts molecular biomarkers from pathology slides. Nat Commun. 2024;15:1253. doi:10.1038/s41467-024-45589-1.</w:t>
      </w:r>
    </w:p>
    <w:p>
      <w:r>
        <w:t>13. Arslan S, et al. A systematic pan-cancer study on deep learning-based prediction of multi-omic biomarkers from routine pathology images. Commun Med. 2024;4:48. doi:10.1038/s43856-024-00471-5.</w:t>
      </w:r>
    </w:p>
    <w:p>
      <w:r>
        <w:t>14. Bergstrom EN, et al. Deep learning artificial intelligence predicts homologous recombination deficiency and platinum response from histologic slides. J Clin Oncol. 2024;42:3550–3560. doi:10.1200/JCO.23.02641.</w:t>
      </w:r>
    </w:p>
    <w:p>
      <w:r>
        <w:t>15. Patkar S, et al. Predicting the tumor microenvironment composition and immunotherapy response in non-small cell lung cancer from digital histopathology images. npj Precis Oncol. 2024;8:280. doi:10.1038/s41698-024-00765-w.</w:t>
      </w:r>
    </w:p>
    <w:p>
      <w:r>
        <w:t>16. Ding T, et al. A multimodal whole-slide foundation model for pathology. Nat Med. 2025;31:3749–3761. doi:10.1038/s41591-025-03982-3.</w:t>
      </w:r>
    </w:p>
    <w:p>
      <w:r>
        <w:t>17. Wold S, Sjöström M, Eriksson L. PLS-regression: a basic tool of chemometrics. Chemometr Intell Lab Syst. 2001;58:109–130. doi:10.1016/S0169-7439(01)00155-1.</w:t>
      </w:r>
    </w:p>
    <w:p>
      <w:r>
        <w:t>18. Szymańska E, et al. Double-check: validation of diagnostic statistics for PLS-DA models. Metabolomics. 2012;8(Suppl 1):3–16. doi:10.1007/s11306-011-0330-3.</w:t>
      </w:r>
    </w:p>
    <w:p>
      <w:r>
        <w:t>19. Thorsson V, et al. The Immune Landscape of Cancer. Immunity. 2018;48:812–830.e14. doi:10.1016/j.immuni.2018.03.023.</w:t>
      </w:r>
    </w:p>
    <w:p>
      <w:r>
        <w:t>20. Taylor AM, et al. Genomic and functional approaches to understanding cancer aneuploidy. Cancer Cell. 2018;33:676–689.e3. doi:10.1016/j.ccell.2018.03.007.</w:t>
      </w:r>
    </w:p>
    <w:p>
      <w:r>
        <w:t>21. Gao Q, et al. Driver fusions and their implications in the development and treatment of human cancers. Cell Rep. 2018;23:227–238.e3. doi:10.1016/j.celrep.2018.03.050.</w:t>
      </w:r>
    </w:p>
    <w:p>
      <w:r>
        <w:t>22. Bonneville R, et al. Landscape of microsatellite instability across 39 cancer types. JCO Precis Oncol. 2017;2017:PO.17.00073. doi:10.1200/PO.17.00073.</w:t>
      </w:r>
    </w:p>
    <w:p>
      <w:r>
        <w:t>23. Cerami E, et al. The cBio cancer genomics portal: an open platform for exploring multidimensional cancer genomics data. Cancer Discov. 2012;2:401–404. doi:10.1158/2159-8290.CD-12-0095.</w:t>
      </w:r>
    </w:p>
    <w:p>
      <w:r>
        <w:t>24. Ellrott K, et al. Scalable open science approach for mutation calling of tumor exomes. Cell Syst. 2018;6:271–281.e7. doi:10.1016/j.cels.2018.03.002.</w:t>
      </w:r>
    </w:p>
    <w:p>
      <w:r>
        <w:t>25. Bailey MH, et al. Comprehensive characterization of cancer driver genes and mutations. Cell. 2018;173:371–385.e18. doi:10.1016/j.cell.2018.02.060.</w:t>
      </w:r>
    </w:p>
    <w:p>
      <w:r>
        <w:t>26. Sanchez-Vega F, et al. Oncogenic signaling pathways in The Cancer Genome Atlas. Cell. 2018;173:321–337.e10. doi:10.1016/j.cell.2018.03.035.</w:t>
      </w:r>
    </w:p>
    <w:p>
      <w:r>
        <w:t>27. Benjamini Y, Hochberg Y. Controlling the false discovery rate: a practical and powerful approach to multiple testing. J R Stat Soc B. 1995;57:289–300. doi:10.1111/j.2517-6161.1995.tb02031.x.</w:t>
      </w:r>
    </w:p>
    <w:p>
      <w:r>
        <w:t>28. Collins GS, et al. TRIPOD+AI statement: updated guidance for reporting clinical prediction models that use regression or machine learning methods. BMJ. 2024;385:e078378. doi:10.1136/bmj-2023-078378.</w:t>
      </w:r>
    </w:p>
    <w:p>
      <w:r>
        <w:t>29. Liu J, et al. An integrated TCGA pan-cancer clinical data resource to drive high-quality survival outcome analytics. Cell. 2018;173:400–416.e11. doi:10.1016/j.cell.2018.02.052.</w:t>
      </w:r>
    </w:p>
    <w:p>
      <w:r>
        <w:t>30. TITAN patient-level benchmark repository. GitHub. https://github.com/tkcaccia/titan-prediction. Accessed 15 Aug 2026.</w:t>
      </w:r>
    </w:p>
    <w:p>
      <w:r>
        <w:t>31. International Agency for Research on Cancer. Global Cancer Observatory: GLOBOCAN 2022 world fact sheet. Lyon: IARC; 2024. https://gco.iarc.who.int/media/globocan/factsheets/populations/900-world-fact-sheet.pdf. Accessed 16 Aug 2026.</w:t>
      </w:r>
    </w:p>
    <w:p>
      <w:r>
        <w:t>32. TITANPred R package and fitted-model repository. GitHub. https://github.com/tkcaccia/TITANPred. Accessed 16 Aug 2026.</w:t>
      </w:r>
    </w:p>
    <w:p>
      <w:r>
        <w:t>33. National Cancer Institute. Genomic Data Commons Cases API. https://api.gdc.cancer.gov/cases. Accessed 16 Aug 2026.</w:t>
      </w:r>
    </w:p>
    <w:p>
      <w:r>
        <w:t>34. Fernandes G. Morpho-genomic deep learning for ovarian cancer subtype and gene mutation prediction from histopathology. arXiv. 2025;arXiv:2511.03365. doi:10.48550/arXiv.2511.03365.</w:t>
      </w:r>
    </w:p>
    <w:p>
      <w:r>
        <w:t>35. Wells K, Lamrca A, Papaxoinis G, et al. Unique correlation between GTF2I mutation and spindle cell morphology in thymomas (type A and AB thymomas). J Clin Pathol. 2023;76:463–466. doi:10.1136/jclinpath-2021-207837.</w:t>
      </w:r>
    </w:p>
    <w:p>
      <w:r>
        <w:t>36. National Cancer Institute Clinical Proteomic Tumor Analysis Consortium. CPTAC-UCEC: The Clinical Proteomic Tumor Analysis Consortium Uterine Corpus Endometrial Carcinoma Collection. The Cancer Imaging Archive. doi:10.7937/K9/TCIA.2018.3R3JUISW. Accessed 24 Aug 2026.</w:t>
      </w:r>
    </w:p>
    <w:p>
      <w:r>
        <w:t>37. Newman AM, et al. Robust enumeration of cell subsets from tissue expression profiles. Nat Methods. 2015;12:453–457. doi:10.1038/nmeth.3337.</w:t>
      </w:r>
    </w:p>
    <w:p>
      <w:r>
        <w:t>38. Saltz J, et al. Spatial organization and molecular correlation of tumor-infiltrating lymphocytes using deep learning on pathology images. Cell Rep. 2018;23:181–193.e7. doi:10.1016/j.celrep.2018.03.086.</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TITAN patient-level benchmark and model resource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