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sensitivity to grouping by TCGA tissue-source-site code,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results grouped by TCGA tissue-source-site code; the largest target-level attenuations, including READ–APC (balanced accuracy 0.862 to 0.495) and COAD–APC (0.793 to 0.543); and the new within-cancer TCGA tissue-source-site-code prediction analysis. Complete highlighted-model grouped metrics and warning status are in Supplementary Table S6a rather than an oversized main-text table. The public analysis registry and access-controlled TITANPred registry contain the grouped metric, delta, number of TCGA tissue-source-site codes, threshold-retention flag, near-chance flag, validation scope and warning for all 323 models; inference outputs and reports display these fields and prominently warn about models sensitive to TCGA tissue-source-site-code grouping. We report that 83/323 models (25.7%) fell below the original threshold: 58/219 continuous and 25/104 binary. The fold audit provides all 1,613 outer-fold compositions with test/training patients, TCGA tissue-source-site codes, positive and negative cases, code identifiers and seeds; selected APC folds appear in Table S10c. We confirmed from both the implementation and deterministic fold reconstruction that the TCGA tissue-source-site-code constraint was passed to inner component selection as well as outer evaluation, with no code overlap. In the new five-repeat nested PLS–LDA analysis, TITAN predicted TCGA tissue-source-site code in 27/32 evaluable cancers; median multiclass macro balanced accuracy was 0.628. We consistently call the endpoint sensitivity 'internal validation grouped by TCGA tissue-source-site code' and state that the barcode-derived code is not an institution, scanner or laboratory identifier; neither retained performance nor code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stability and stability under grouping by TCGA tissue-source-site code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external-site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sensitivity to grouping by TCGA tissue-source-site code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Supplementary Table S6c, docs/EXTERNAL_VALIDATION_PROTOCOL.md and data/reference/external_validation_locked_targets.csv rather than the main Results.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Validation grouped by TCGA tissue-source-site code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TCGA tissue-source-site-code-grouped,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After further streamlining, the locked-target implementation table was moved to Supplementary Table S6c; the main manuscript now contains only Table 1 (analysis coverage).</w:t>
      </w:r>
    </w:p>
    <w:p>
      <w:pPr>
        <w:pStyle w:val="Heading1"/>
      </w:pPr>
      <w:r>
        <w:t>Report precision–recall metrics</w:t>
      </w:r>
    </w:p>
    <w:p>
      <w:r>
        <w:t>Agreed. PR-AUC is calculated as non-interpolated average precision from held-out continuous LDA scores in each repeated nested-CV run, and its no-skill reference is explicitly defined as the observed endpoint prevalence. The Abstract now reports PR-AUC for the highlighted binary model. The main Results summarize all 104 screen-positive binary models and show the prevalence-dependent contrast directly: the 13 mutation or fusion endpoints below 20% prevalence had median prevalence 0.091, median PR-AUC 0.360 and median AUROC 0.790. Endpoint-level PR-AUC, repeat variability, prevalence and class counts remain in Supplementary Tables S6a, S7 and S10g, the model registry and TITANPred output.</w:t>
      </w:r>
    </w:p>
    <w:p>
      <w:pPr>
        <w:pStyle w:val="Heading1"/>
      </w:pPr>
      <w:r>
        <w:t>Figure readability</w:t>
      </w:r>
    </w:p>
    <w:p>
      <w:r>
        <w:t>Agreed. Figures 2 and 3 now show the 18 strongest models rather than 30, use larger fonts and points, remove redundant encodings and direct readers to complete supplementary results. Figure 5 is restricted to the 20 cancers with the largest candidate counts and uses larger axis and legend typography. Figure 6 retains all 323 models in the overview but limits the labelled attenuation panel to eight endpoints and the TCGA tissue-source-site-code panel to the 15 strongest chance-normalised results, with larger fonts throughout. Figure 7 no longer uses two radar plots: its continuous panel is a common-scale dumbbell comparison that permits direct between-case reading while preserving every original prediction in a separate value column; the simplified binary panel remains below it. Exact values, sample IDs and all non-probability and internal-validation warnings are retained.</w:t>
      </w:r>
    </w:p>
    <w:p>
      <w:pPr>
        <w:pStyle w:val="Heading1"/>
      </w:pPr>
      <w:r>
        <w:t>Move implementation detail out of the main Results</w:t>
      </w:r>
    </w:p>
    <w:p>
      <w:r>
        <w:t>Agreed. The detailed TITANPred inventory, input schema, pooling behaviour, score-rank construction, checksums, class counts, reliability warnings, report-generation behaviour, synthetic smoke test and locked-artifact metadata have been removed from the main Results. These materials remain in Supplementary Methods, Tables S6b–S6c and S13, the machine-readable registries and the package documentation. The former software-interface subsection is now a short 'Illustrative COAD output' section containing only the purpose and selection caveats needed to interpret Figure 7. The locked UCEC targets are stated in one sentence, with all hashes and protocol mechanics moved to Supplementary Table S6c.</w:t>
      </w:r>
    </w:p>
    <w:p>
      <w:pPr>
        <w:pStyle w:val="Heading1"/>
      </w:pPr>
      <w:r>
        <w:t>Clarify the site variable</w:t>
      </w:r>
    </w:p>
    <w:p>
      <w:r>
        <w:t>Agreed. We now use 'TCGA tissue-source-site code' whenever referring to the two-character barcode field. Analyses are described as 'internal validation grouped by TCGA tissue-source-site code' and 'within-cancer TCGA tissue-source-site-code classification'; fold counts are counts of codes rather than sites. The Abstract, Methods, Results, Discussion, Figure 6 caption, Supplementary Tables S6a and S10b–S10d, reviewer report and response have been standardised. We state explicitly that this barcode-derived code is not an institution, scanner, laboratory or staining-batch identifier and that grouping by it is not external validation. Uses of 'site' with a different biological meaning, such as splice site or resection site, were retained.</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Sensitivity to TCGA tissue-source-site-code grouping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