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TCGA tissue-source-site-code grouping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TCGA tissue-source-site-code grouping and confounding</w:t>
      </w:r>
    </w:p>
    <w:p>
      <w:pPr>
        <w:spacing w:after="120" w:line="264" w:lineRule="auto"/>
      </w:pPr>
      <w:r>
        <w:rPr>
          <w:rFonts w:ascii="Calibri" w:hAnsi="Calibri"/>
          <w:b w:val="0"/>
          <w:i w:val="0"/>
          <w:color w:val="000000"/>
          <w:sz w:val="22"/>
        </w:rPr>
        <w:t>The revised manuscript now makes the TCGA tissue-source-site-code result visible rather than reducing it to a median robustness statistic. Main Figure 6 shows every target, the largest attenuations and the new within-cancer TCGA tissue-source-site-code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TCGA tissue-source-site-code count,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and package behaviour have been moved out of the main Results to the Supplement and software documentation. The main Results retain only a concise description needed to interpret the illustrative COAD output.</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3, 5 and 6 now use larger typography and restrict ranked displays while directing readers to complete supplementary tables. Figure 7 replaces the two radar plots with a shared-axis dumbbell comparison, retains original predicted values in a separate column and simplifies the binary panel.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