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patient-level TCGA discovery atlas of molecular and immune predictability from pretrained TITAN whole-slide representations across 32 cancers</w:t>
      </w:r>
    </w:p>
    <w:p>
      <w:pPr>
        <w:jc w:val="center"/>
      </w:pPr>
      <w:r>
        <w:rPr>
          <w:b/>
        </w:rPr>
        <w:t>Aamilah Ismail</w:t>
      </w:r>
      <w:r>
        <w:rPr>
          <w:vertAlign w:val="superscript"/>
        </w:rPr>
        <w:t>3,*</w:t>
      </w:r>
      <w:r>
        <w:t xml:space="preserve">, </w:t>
      </w:r>
      <w:r>
        <w:rPr>
          <w:b/>
        </w:rPr>
        <w:t>Martin Ocharo</w:t>
      </w:r>
      <w:r>
        <w:rPr>
          <w:vertAlign w:val="superscript"/>
        </w:rPr>
        <w:t>1,2,*</w:t>
      </w:r>
      <w:r>
        <w:t xml:space="preserve">, </w:t>
      </w:r>
      <w:r>
        <w:rPr>
          <w:b/>
        </w:rPr>
        <w:t>Moussa Kassim</w:t>
      </w:r>
      <w:r>
        <w:rPr>
          <w:vertAlign w:val="superscript"/>
        </w:rPr>
        <w:t>1,2</w:t>
      </w:r>
      <w:r>
        <w:t xml:space="preserve">, </w:t>
      </w:r>
      <w:r>
        <w:rPr>
          <w:b/>
        </w:rPr>
        <w:t>Dalia Ahmed</w:t>
      </w:r>
      <w:r>
        <w:rPr>
          <w:vertAlign w:val="superscript"/>
        </w:rPr>
        <w:t>1</w:t>
      </w:r>
      <w:r>
        <w:t xml:space="preserve">, </w:t>
      </w:r>
      <w:r>
        <w:rPr>
          <w:b/>
        </w:rPr>
        <w:t>Brendon Price</w:t>
      </w:r>
      <w:r>
        <w:rPr>
          <w:vertAlign w:val="superscript"/>
        </w:rPr>
        <w:t>5</w:t>
      </w:r>
      <w:r>
        <w:t xml:space="preserve">, </w:t>
      </w:r>
      <w:r>
        <w:rPr>
          <w:b/>
        </w:rPr>
        <w:t>Dupe Ojo</w:t>
      </w:r>
      <w:r>
        <w:rPr>
          <w:vertAlign w:val="superscript"/>
        </w:rPr>
        <w:t>1</w:t>
      </w:r>
      <w:r>
        <w:t xml:space="preserve">, </w:t>
      </w:r>
      <w:r>
        <w:rPr>
          <w:b/>
        </w:rPr>
        <w:t>Ekene Emmanuel Nweke</w:t>
      </w:r>
      <w:r>
        <w:rPr>
          <w:vertAlign w:val="superscript"/>
        </w:rPr>
        <w:t>4</w:t>
      </w:r>
      <w:r>
        <w:t xml:space="preserve">, </w:t>
      </w:r>
      <w:r>
        <w:rPr>
          <w:b/>
        </w:rPr>
        <w:t>Silvano Piazza</w:t>
      </w:r>
      <w:r>
        <w:rPr>
          <w:vertAlign w:val="superscript"/>
        </w:rPr>
        <w:t>6</w:t>
      </w:r>
      <w:r>
        <w:t xml:space="preserve">, </w:t>
      </w:r>
      <w:r>
        <w:rPr>
          <w:b/>
        </w:rPr>
        <w:t>Dinesh Gupta</w:t>
      </w:r>
      <w:r>
        <w:rPr>
          <w:vertAlign w:val="superscript"/>
        </w:rPr>
        <w:t>7</w:t>
      </w:r>
      <w:r>
        <w:t xml:space="preserve">, </w:t>
      </w:r>
      <w:r>
        <w:rPr>
          <w:b/>
        </w:rPr>
        <w:t>Stefano Cacciatore</w:t>
      </w:r>
      <w:r>
        <w:rPr>
          <w:vertAlign w:val="superscript"/>
        </w:rPr>
        <w:t>1,2,†</w:t>
      </w:r>
    </w:p>
    <w:p>
      <w:pPr>
        <w:jc w:val="center"/>
      </w:pPr>
      <w:r>
        <w:rPr>
          <w:b/>
        </w:rPr>
        <w:t xml:space="preserve">1 </w:t>
      </w:r>
      <w:r>
        <w:t>Bioinformatics Unit, International Centre for Genetic Engineering and Biotechnology (ICGEB), Cape Town 7925, South Africa</w:t>
      </w:r>
    </w:p>
    <w:p>
      <w:pPr>
        <w:jc w:val="center"/>
      </w:pPr>
      <w:r>
        <w:rPr>
          <w:b/>
        </w:rPr>
        <w:t xml:space="preserve">2 </w:t>
      </w:r>
      <w:r>
        <w:t>Department of Integrative Biomedical Sciences, Institute of Infectious Disease &amp; Molecular Medicine (IDM), University of Cape Town, Cape Town 7925, South Africa</w:t>
      </w:r>
    </w:p>
    <w:p>
      <w:pPr>
        <w:jc w:val="center"/>
      </w:pPr>
      <w:r>
        <w:rPr>
          <w:b/>
        </w:rPr>
        <w:t xml:space="preserve">3 </w:t>
      </w:r>
      <w:r>
        <w:t>Division of Engineering, New York University Abu Dhabi, Abu Dhabi, United Arab Emirates</w:t>
      </w:r>
    </w:p>
    <w:p>
      <w:pPr>
        <w:jc w:val="center"/>
      </w:pPr>
      <w:r>
        <w:rPr>
          <w:b/>
        </w:rPr>
        <w:t xml:space="preserve">4 </w:t>
      </w:r>
      <w:r>
        <w:t>Department of Surgery, Faculty of Health Sciences, University of the Witwatersrand, Johannesburg, Gauteng, South Africa</w:t>
      </w:r>
    </w:p>
    <w:p>
      <w:pPr>
        <w:jc w:val="center"/>
      </w:pPr>
      <w:r>
        <w:rPr>
          <w:b/>
        </w:rPr>
        <w:t xml:space="preserve">5 </w:t>
      </w:r>
      <w:r>
        <w:t>Division of Anatomical Pathology, University of Cape Town and National Health Laboratory Service, Observatory, Cape Town, South Africa</w:t>
      </w:r>
    </w:p>
    <w:p>
      <w:pPr>
        <w:jc w:val="center"/>
      </w:pPr>
      <w:r>
        <w:rPr>
          <w:b/>
        </w:rPr>
        <w:t xml:space="preserve">6 </w:t>
      </w:r>
      <w:r>
        <w:t>Computational Biology Group, International Centre for Genetic Engineering and Biotechnology (ICGEB), Padriciano 99, 34149 Trieste, Italy</w:t>
      </w:r>
    </w:p>
    <w:p>
      <w:pPr>
        <w:jc w:val="center"/>
      </w:pPr>
      <w:r>
        <w:rPr>
          <w:b/>
        </w:rPr>
        <w:t xml:space="preserve">7 </w:t>
      </w:r>
      <w:r>
        <w:t>Translational Bioinformatics Group, International Centre for Genetic Engineering and Biotechnology (ICGEB), Aruna Asaf Ali Marg, New Delhi 110067, India</w:t>
      </w:r>
    </w:p>
    <w:p>
      <w:pPr>
        <w:jc w:val="center"/>
      </w:pPr>
      <w:r>
        <w:rPr>
          <w:i/>
        </w:rPr>
        <w:t>* These authors contributed equally.</w:t>
      </w:r>
    </w:p>
    <w:p>
      <w:pPr>
        <w:jc w:val="center"/>
      </w:pPr>
      <w:r>
        <w:rPr>
          <w:i/>
        </w:rPr>
        <w:t>† Corresponding author: Stefano Cacciatore (stefano.cacciatore@icgeb.org).</w:t>
      </w:r>
    </w:p>
    <w:p>
      <w:pPr>
        <w:jc w:val="center"/>
      </w:pPr>
      <w:r>
        <w:t>Author emails: aamilahismail@gmail.com; moussa.kassim@icgeb.org; dalia.ahmed@icgeb.org; dupe.ojo@icgeb.org; stefano.cacciatore@icgeb.org</w:t>
      </w:r>
    </w:p>
    <w:p>
      <w:pPr>
        <w:jc w:val="center"/>
      </w:pPr>
      <w:r>
        <w:t>Research article — Molecular Pathology | Journal of Translational Medicine</w:t>
      </w:r>
    </w:p>
    <w:p>
      <w:pPr>
        <w:pStyle w:val="Heading1"/>
      </w:pPr>
      <w:r>
        <w:t>Abstract</w:t>
      </w:r>
    </w:p>
    <w:p>
      <w:r>
        <w:rPr>
          <w:b/>
        </w:rPr>
        <w:t xml:space="preserve">Background. </w:t>
      </w:r>
      <w:r>
        <w:t>Deep-learning studies have shown that haematoxylin-and-eosin images encode mutations, microsatellite instability, transcriptomic programmes and tumour-microenvironment phenotypes. We evaluated which individual molecular, genomic-instability and immune endpoints are predictable within cancer type from reusable TITAN whole-slide representations.</w:t>
      </w:r>
    </w:p>
    <w:p>
      <w:r>
        <w:rPr>
          <w:b/>
        </w:rPr>
        <w:t xml:space="preserve">Methods. </w:t>
      </w:r>
      <w:r>
        <w:t>We mean-pooled 11,449 primary diagnostic slide embeddings into 9,404 patient vectors across 32 TCGA cancers; 843 patients contributed multiple slides. We tested 1,614 continuous and 459 binary cancer–endpoint pairs. PLS1 regression was used for continuous targets; binary targets used PLS latent scores with LDA. Patient-level nested 5×5 cross-validation selected 1–10 components. Effect-eligible models underwent a 999-permutation refinement with conservative sequential stopping, Benjamini–Hochberg control within cancer and endpoint family, and a stricter across-cancer family correction.</w:t>
      </w:r>
    </w:p>
    <w:p>
      <w:r>
        <w:rPr>
          <w:b/>
        </w:rPr>
        <w:t xml:space="preserve">Results. </w:t>
      </w:r>
      <w:r>
        <w:t>Within-cancer screening identified 219 continuous and 104 binary higher- or moderate-effect candidates. Highlighted repeated-CV results included TGCT–TGF-beta Response (Q² 0.670, 95% bootstrap interval 0.573–0.741; RMSE 0.303, Spearman 0.791) and LGG–TP53 (sensitivity 0.839, specificity 0.885, balanced accuracy 0.862, 95% bootstrap interval 0.833–0.888; AUROC 0.908). Under the multiplicity sensitivity, 219 continuous and 39 cancer–mutation pairs passed the stricter across-cancer correction; its attainable q-values in large families were limited by the 0.001 empirical-p resolution. Site grouping reduced 83/323 candidates (25.7%) below the original effect threshold. In a selection-conditioned 24-model benchmark, median ridge-minus-PLS differences were 0.007 balanced accuracy and 0.014 Q², showing no uniform PLS advantage.</w:t>
      </w:r>
    </w:p>
    <w:p>
      <w:r>
        <w:rPr>
          <w:b/>
        </w:rPr>
        <w:t xml:space="preserve">Conclusions. </w:t>
      </w:r>
      <w:r>
        <w:t>Pretrained TITAN representations support a cancer-specific TCGA discovery atlas spanning immune and molecular phenotypes. The models are internally validated research candidates, do not replace molecular assays, and require independent external validation before clinical interpretation.</w:t>
      </w:r>
    </w:p>
    <w:p>
      <w:r>
        <w:rPr>
          <w:b/>
        </w:rPr>
        <w:t xml:space="preserve">Trial registration. </w:t>
      </w:r>
      <w:r>
        <w:t>Not applicable.</w:t>
      </w:r>
    </w:p>
    <w:p>
      <w:r>
        <w:t>Keywords: computational pathology; whole-slide imaging; foundation model; mutation; inflammation; microsatellite instability; gene fusion; aneuploidy; partial least squares; linear discriminant analysis</w:t>
      </w:r>
    </w:p>
    <w:p>
      <w:pPr>
        <w:pStyle w:val="Heading1"/>
      </w:pPr>
      <w:r>
        <w:t>Background</w:t>
      </w:r>
    </w:p>
    <w:p>
      <w:r>
        <w:t>Routine haematoxylin-and-eosin sections reflect phenotypic consequences of tumour genotype and the immune microenvironment. Coudray and colleagues established mutation prediction from lung histology [1]. Subsequent work predicted microsatellite instability, including externally validated colorectal models [2,3]; extended mutation and multi-omic screening across TCGA cancers [4,5,8,11,13]; inferred RNA expression [6,12]; identified tissue-source-site bias [7]; detected gene fusions [9,10]; estimated homologous-recombination deficiency [14]; and characterised tumour-microenvironment phenotypes [15]. Collectively, these studies establish biological plausibility while also showing that performance depends on endpoint, disease, cohort and validation design.</w:t>
      </w:r>
    </w:p>
    <w:p>
      <w:r>
        <w:t>However, the published landscape remains fragmented across selected cancers, endpoint classes, representations and reporting conventions. What is missing is a single patient-level, reusable discovery atlas that applies one fixed pretrained whole-slide representation and one transparent validation framework to many individual mutation, immune, pathway, instability, aneuploidy and fusion endpoints while retaining negative results, class counts, uncertainty and deployable fitted models. This study addresses that gap; it does not claim that the individual endpoint classes themselves are unprecedented.</w:t>
      </w:r>
    </w:p>
    <w:p>
      <w:r>
        <w:t>TITAN is a multimodal whole-slide foundation model pretrained on 335,645 slides with visual self-supervision and vision–language alignment [16]. The published Mass-340K pretraining corpus explicitly excluded TCGA and PANDA; TCGA was instead used for downstream evaluation of the pretrained model. The present work therefore has no reported TCGA pretraining overlap, but it is a secondary analysis of a cohort previously used to benchmark TITAN and is not independent external validation. We use its fixed 768-dimensional slide representation with PLS, a latent-variable method suited to correlated high-dimensional predictors [17,18].</w:t>
      </w:r>
    </w:p>
    <w:p>
      <w:r>
        <w:t>A practical feature of the fitted analysis is model portability. A PLS or PLS–LDA predictor can be distributed as preprocessing parameters, latent-variable weights, regression coefficients and LDA parameters. Prediction therefore does not require release of the patient-level training embeddings or outcomes. This supports external research testing while minimising distribution of patient-level data, but does not itself establish privacy, licensing compatibility or transportability.</w:t>
      </w:r>
    </w:p>
    <w:p>
      <w:r>
        <w:t>The primary question was cancer-specific: which individual mutations, inflammatory measurements, oncogenic pathways, MSI phenotypes, aneuploidy measures and fusions are predictable within each cancer? Molecular subtype association was not analysed. PLS–LDA was preferred for individual binary molecular endpoints. The methodological PLS1–PLS2 comparison for correlated inflammatory panels is reported in the Supplementary Material.</w:t>
      </w:r>
    </w:p>
    <w:p>
      <w:pPr>
        <w:pStyle w:val="Heading1"/>
      </w:pPr>
      <w:r>
        <w:t>Methods</w:t>
      </w:r>
    </w:p>
    <w:p>
      <w:pPr>
        <w:pStyle w:val="Heading2"/>
      </w:pPr>
      <w:r>
        <w:t>Study design, slides and patient unit</w:t>
      </w:r>
    </w:p>
    <w:p>
      <w:r>
        <w:t>The published TITAN TCGA table contained 11,449 eligible primary-tumour diagnostic slides (TCGA sample type 01 and –DX filename) from 9,404 participants. The 843 participants with multiple eligible slides contributed one patient vector obtained by feature-wise arithmetic mean before outcomes were joined. Patient—not slide—was the independent cross-validation unit. TITAN's TCGA-Slide-Reports.csv matched 10,106 selected slides exactly by filename; 1,343 slides lacked an exact report row. Report metadata were used only to audit identifiers, project/cancer provenance and resection-site annotations, and no report text entered a model. The two-character tissue-source-site code used for grouped validation was derived directly from the TCGA participant barcode. 9 participants without a resolvable cancer label did not enter cancer-specific modelling. No participant had eligible slides from more than one primary sample barcode.</w:t>
      </w:r>
    </w:p>
    <w:p>
      <w:r>
        <w:t>All models were stratified by cancer type. No model learned pan-cancer differences, and no patient could occur in more than one validation fold. The intended use was discovery-stage prioritisation rather than diagnosis, treatment selection or replacement of molecular testing.</w:t>
      </w:r>
    </w:p>
    <w:p>
      <w:r>
        <w:t>All available eligible TCGA participants were used; no formal power calculation was performed. Minimum outcome-specific denominators were prespecified to support nested folds. Treatments were not modelled because the endpoints were contemporaneous molecular or immune measurements rather than prognosis or treatment response. Available demographic fields, subgroup sizes and endpoint-specific missingness did not provide a basis for representative subgroup performance or fairness evaluation; this is considered a limitation rather than evidence of equivalent performance across groups.</w:t>
      </w:r>
    </w:p>
    <w:p>
      <w:r>
        <w:t>Reporting was audited against TRIPOD+AI [28]. Participant characteristics were linked from the TCGA Clinical Data Resource [29] and summarized overall and by cancer. These descriptive fields were not supplied to prediction models, and no subgroup performance comparison was prespecified.</w:t>
      </w:r>
    </w:p>
    <w:p>
      <w:pPr>
        <w:jc w:val="center"/>
      </w:pPr>
      <w:r>
        <w:drawing>
          <wp:inline xmlns:a="http://schemas.openxmlformats.org/drawingml/2006/main" xmlns:pic="http://schemas.openxmlformats.org/drawingml/2006/picture">
            <wp:extent cx="5806440" cy="3096768"/>
            <wp:docPr id="1" name="Picture 1"/>
            <wp:cNvGraphicFramePr>
              <a:graphicFrameLocks noChangeAspect="1"/>
            </wp:cNvGraphicFramePr>
            <a:graphic>
              <a:graphicData uri="http://schemas.openxmlformats.org/drawingml/2006/picture">
                <pic:pic>
                  <pic:nvPicPr>
                    <pic:cNvPr id="0" name="Figure1_patient_first_workflow.png"/>
                    <pic:cNvPicPr/>
                  </pic:nvPicPr>
                  <pic:blipFill>
                    <a:blip r:embed="rId11"/>
                    <a:stretch>
                      <a:fillRect/>
                    </a:stretch>
                  </pic:blipFill>
                  <pic:spPr>
                    <a:xfrm>
                      <a:off x="0" y="0"/>
                      <a:ext cx="5806440" cy="3096768"/>
                    </a:xfrm>
                    <a:prstGeom prst="rect"/>
                  </pic:spPr>
                </pic:pic>
              </a:graphicData>
            </a:graphic>
          </wp:inline>
        </w:drawing>
      </w:r>
    </w:p>
    <w:p>
      <w:pPr>
        <w:pStyle w:val="Caption"/>
        <w:jc w:val="center"/>
      </w:pPr>
      <w:r>
        <w:t>Figure 1. Patient-first study design. Eligible diagnostic slides are mean-pooled before outcome matching; all model selection and evaluation occur at patient level within cancer type.</w:t>
      </w:r>
    </w:p>
    <w:p>
      <w:pPr>
        <w:pStyle w:val="Heading2"/>
      </w:pPr>
      <w:r>
        <w:t>Predictors and outcomes</w:t>
      </w:r>
    </w:p>
    <w:p>
      <w:r>
        <w:t>Predictors were the 768 fixed pretrained TITAN dimensions released for the TCGA slides [16]. The official gated artifact, TCGA_TITAN_features.pkl, was downloaded from https://huggingface.co/MahmoodLab/TITAN/blob/main/TCGA_TITAN_features.pkl after accepting the upstream terms and converted with the repository script to filename,titan_000,…,titan_767 CSV format; its source and converted-file SHA-256 hashes are retained in the provenance record. No slide pixels were reprocessed and TITAN weights were not fine-tuned in this study. Continuous outcomes comprised 39 immune/inflammatory measures and 11 genomic-context scores from Thorsson et al. [19], three aneuploidy burdens from Taylor et al. [20], log-transformed fusion burden from Gao et al. [21], and MANTIS/MSIsensor scores from Bonneville et al. and the cBioPortal TCGA PanCancer Atlas files [22,23]. Binary outcomes comprised qualifying protein-altering PASS mutations in tissue-specific consensus cancer genes from MC3 and Bailey et al. [24,25], ten oncogenic-pathway alteration indicators [26], genome doubling [20], any called fusion and eligible recurrent fusion pairs [21], and MSI-H definitions at MANTIS &gt;0.4 and a strict &gt;0.6 sensitivity threshold [22]. Protein-altering classes were missense, nonsense, nonstop, splice-site and translation-start mutations plus frameshift and in-frame insertions or deletions; their inclusion is recorded in a cancer-level variant-class audit. A mutation target denotes a qualifying alteration in a cancer gene; it does not assert that every allele is a functionally validated driver.</w:t>
      </w:r>
    </w:p>
    <w:p>
      <w:r>
        <w:t>The Thorsson Nonsilent Mutation Rate, Silent Mutation Rate, SNV Neoantigens, Indel Neoantigens and Number of Segments variables, and the Gao fusion burden, were analysed as log(1+x); all other continuous endpoints retained their source scale. Reported RMSE values therefore use these analysed units.</w:t>
      </w:r>
    </w:p>
    <w:p>
      <w:r>
        <w:t>Molecular missingness was retained rather than converted to a negative label, and no outcome imputation was performed. Mutation status was defined only among 8,476 embedding patients matched to an MC3 primary-tumour profile; 919 embedding patients without such a profile were excluded from mutation denominators. Within this profiled set, wild type meant no qualifying PASS protein-altering variant in the specified gene. Fusion-negative status was assigned only within the Gao study sample list. Multiple primary aliquots, if present, were collapsed at patient level by any alteration for binary mutation/pathway/fusion endpoints and by the prespecified mean or any-positive rule for continuous or binary instability endpoints. The source-level coverage table records covered patients, missing patients, aliquot multiplicity and aggregation for every cancer and source; no source contained multiple primary aliquots among matched embedding patients in this release.</w:t>
      </w:r>
    </w:p>
    <w:p>
      <w:r>
        <w:t>Continuous pairs required at least 50 non-missing patients. Binary pairs required at least 20 positive and 20 negative patients. Eligibility was decided before modelling and every eligible test remained in its endpoint-family multiplicity denominator.</w:t>
      </w:r>
    </w:p>
    <w:p>
      <w:pPr>
        <w:pStyle w:val="Heading2"/>
      </w:pPr>
      <w:r>
        <w:t>PLS1 regression and PLS–LDA classification</w:t>
      </w:r>
    </w:p>
    <w:p>
      <w:r>
        <w:t>For each cancer–endpoint pair, five outer folds estimated performance and five inner folds selected 1–10 PLS components. Scaling and component selection were learned from training patients only. All primary, permutation, repeated, sensitivity, PLS1–PLS2 and final-model fits used CPU rSVD with 10 oversampling vectors, two power iterations and explicit seeds. Continuous performance was out-of-fold Q², with RMSE and Spearman correlation secondary. Binary models supplied PLS latent scores to ridge-stabilised LDA; balanced accuracy was primary and AUROC from continuous LDA scores was secondary in repeated validation.</w:t>
      </w:r>
    </w:p>
    <w:p>
      <w:r>
        <w:t>Q² was 1−Σ(y−ŷ)²/Σ(y−ȳ)² over outer-fold predictions, and RMSE was the square root of the mean squared prediction error. For binary outcomes, class 1 denoted altered or positive and class 0 denoted wild type or negative within the outcome-specific covered denominator. Sensitivity was the class-1 true-positive rate, specificity the class-0 true-negative rate, and balanced accuracy their arithmetic mean. AUROC used the continuous class-1-minus-class-0 LDA discriminant score; Spearman correlation used observed and held-out continuous predictions.</w:t>
      </w:r>
    </w:p>
    <w:p>
      <w:r>
        <w:t>As a secondary algorithmic benchmark, the 24 manuscript-highlighted models were refitted on the same five repeated outer partitions using ridge-penalised Gaussian regression for continuous endpoints and ridge logistic regression for binary endpoints. Ridge hyperparameters were selected inside each outer training set; binary operating thresholds maximised balanced accuracy using inner out-of-fold probabilities. The primary paired differences were ridge-minus-PLS Q² and balanced accuracy, with AUROC or Spearman correlation retained as secondary metrics. We report the magnitude, interquartile range and 95% paired-repeat interval rather than declaring a winner from counts alone. Because models were selected for this benchmark after the PLS screen, it is a conditional sensitivity analysis and cannot establish atlas-wide algorithmic superiority. Ridge was chosen as a simple linear baseline whose fitted coefficients can be exported without retaining training embeddings; nonlinear kernel predictors that require training observations or landmarks at inference did not satisfy that deployment constraint.</w:t>
      </w:r>
    </w:p>
    <w:p>
      <w:r>
        <w:t>No class under-sampling, over-sampling or synthetic augmentation was used. LDA used the observed training-fold class priors and returned a class plus an uncalibrated discriminant score, not a probability or clinical-risk threshold. Outcome tables were constructed independently of TITAN feature processing and joined only after patient-level aggregation.</w:t>
      </w:r>
    </w:p>
    <w:p>
      <w:r>
        <w:t>Nested performance was first checkpointed for the complete atlas. Only models with Q²≥0.20 or chance-corrected balanced accuracy≥0.20 entered permutation testing. A 99-permutation checkpoint was followed by refinement toward 999 patient-label permutations. During final refinement, evaluation stopped conservatively after 49 exceedances because raw p&lt;0.05 was then impossible even if every remaining null statistic were less extreme; stopped endpoints were assigned p=1. Early-stopped checkpoint jobs resumed from the exact number attempted, so no permutation indices were skipped. Regression extremeness used lower RMSE, whereas classification used higher balanced accuracy. Completed finite p values were (b+1)/(B+1), giving minimum resolution 0.001. Because each disease defines a separate prediction and intended-use population, Benjamini–Hochberg FDR was controlled separately for continuous and binary screens within cancer and prespecified endpoint family [27]; a q-value across cancers within the same outcome type and family was retained as a stricter multiplicity sensitivity. Effect denotes Q² for continuous outcomes and 2×balanced accuracy−1 for binary outcomes. Screen-positive candidates were described as higher effect (primary q&lt;0.05 and effect≥0.40) or moderate effect (primary q&lt;0.05 and effect 0.20–0.39). Screen-negative tested pairs and pairs ineligible by sample-size rules were reported separately. These categories prioritise discovery candidates and are not clinical grades.</w:t>
      </w:r>
    </w:p>
    <w:p>
      <w:pPr>
        <w:pStyle w:val="Heading2"/>
      </w:pPr>
      <w:r>
        <w:t>Robustness and saved models</w:t>
      </w:r>
    </w:p>
    <w:p>
      <w:r>
        <w:t>Screen-positive models were repeated under five independently seeded nested-CV partitions; each repeat seed governed both fold construction and rSVD. Sensitivity, specificity, balanced accuracy and AUROC were calculated within each repeat for binary endpoints; Q², RMSE and Spearman correlation were calculated within each repeat for continuous endpoints. Reported repeated-CV point estimates were the arithmetic mean of the five repeat-specific metrics, so LDA scores from independently fitted repeats were never pooled onto an assumed common scale. For highlighted models, 1,000 patient-cluster bootstrap resamples retained all five held-out predictions for each sampled patient, recalculated metrics within repeat and then averaged them; percentile 2.5th and 97.5th quantiles formed the 95% intervals. Site-grouped validation assigned all patients sharing a two-character TCGA tissue-source-site code to the same outer fold, preventing a site from appearing in both training and test partitions for that fold. A sensitivity analysis replaced each mean-pooled vector with the lexicographically first eligible diagnostic slide while preserving patients and seeds. Full-data research models were tuned by ten-fold CV and saved with feature order and checksum, training ranges, aggregation rule, endpoint transformation and output units, class coding and priors, decision rule, calibration status, class counts, exact software version and commit, computation backend, rSVD controls, external-validation status and intended-use metadata.</w:t>
      </w:r>
    </w:p>
    <w:p>
      <w:r>
        <w:t>TITANPred retains the binary LDA score but does not convert it to a probability. In reports, its position is labelled 'TCGA out-of-fold score rank (not probability)' rather than percentile or risk, and is displayed beside total training n, positive and negative counts, prevalence, repeated-CV balanced accuracy and AUROC. Models with fewer than 50 patients in either class receive an explicit limited-class-size warning; this reporting flag does not change the prespecified 20-per-class eligibility rule. Probability calibration was not added post hoc because it would require an independently evaluated or fully nested calibration procedure, which is not available in this TCGA discovery analysis.</w:t>
      </w:r>
    </w:p>
    <w:p>
      <w:r>
        <w:t>The fitted PLS and PLS–LDA objects contain the learned transformations and coefficients needed for inference but no patient-level training rows. The public inference interface validates the 768-feature order and applies the prespecified patient-level slide aggregation. The secondary PLS1–PLS2 inflammatory comparison, including matched folds and cancer-bootstrap intervals, is described in the Supplementary Methods.</w:t>
      </w:r>
    </w:p>
    <w:p>
      <w:pPr>
        <w:pStyle w:val="Heading2"/>
      </w:pPr>
      <w:r>
        <w:t>Software, transparency and validation status</w:t>
      </w:r>
    </w:p>
    <w:p>
      <w:r>
        <w:t>Analyses used R 4.6.0 and fastPLS 0.99.20 (Git commit dcf45cc). MC3 objects were loaded with TCGAmutations 0.4.0 from the GitHub source pinned in the software manifest. Version-controlled code, source manifests, released target catalogues, out-of-fold prediction summaries, figures and model registry are organized in the companion analysis repository [30]. A separate GPL-3 R package bundles all fitted models, their SHA-256 registry, reference distributions, inference interface and report template [32]. The bundled artifacts contain learned parameters and training-range summaries but no patient-level training rows. No independent cohort with compatible TITAN features and the required labels was included; all performance estimates remain internal to TCGA.</w:t>
      </w:r>
    </w:p>
    <w:p>
      <w:r>
        <w:t>OpenAI Codex was used for analysis-code refactoring, document generation and language editing. All statistical choices, source-data mappings, numerical outputs and manuscript interpretations were reviewed by the human authors, who retain responsibility for the work.</w:t>
      </w:r>
    </w:p>
    <w:p>
      <w:r>
        <w:t>Supplementary methods, Tables S1–S12, Figures S1–S2 and the machine-readable-file inventory are provided in Additional file 1. The two illustrative single-sample TITANPred reports are supplied separately as Additional files 2 and 3.</w:t>
      </w:r>
    </w:p>
    <w:p>
      <w:pPr>
        <w:pStyle w:val="Heading1"/>
      </w:pPr>
      <w:r>
        <w:t>Results</w:t>
      </w:r>
    </w:p>
    <w:p>
      <w:pPr>
        <w:pStyle w:val="Heading2"/>
      </w:pPr>
      <w:r>
        <w:t>Cohort and analysis coverage</w:t>
      </w:r>
    </w:p>
    <w:p>
      <w:r>
        <w:t>The embedding cohort contained 9,404 patients represented by 11,449 slides; 843 patients (9.0%) had more than one eligible diagnostic slide. The maximum was 30 slides for one patient, and no patient contributed slides from multiple primary sample barcodes. Exact slide-report coverage was 10,106/11,449 (88.3%). Cancer labels were available for 9,395 patients across 32 cancers. The atlas evaluated 1,614 continuous and 459 binary cancer–endpoint pairs (Table 1). Of 537 prespecified cancer–gene mutation pairs with a profiled denominator, 238 met the 20-positive/20-negative rule and 299 were reported as ineligible rather than tested-negative. Molecular coverage varied by source and cancer; missing cases were excluded outcome by outcome.</w:t>
      </w:r>
    </w:p>
    <w:p>
      <w:r>
        <w:t>The TCGA Clinical Data Resource [29] matched 9,385/9,404 participants. Age was available for 9,338 participants (median 60.0 years, IQR 50.0–70.0); 4,780/9,385 with recorded gender were female. Race was recorded for 8,262 and broad stage I–IV for 7,505. These fields describe cohort composition only; subgroup predictive performance was not evaluated.</w:t>
      </w:r>
    </w:p>
    <w:p>
      <w:pPr>
        <w:pStyle w:val="Caption"/>
      </w:pPr>
      <w:r>
        <w:t>Table 1. Eligible cancer–endpoint models and within-cancer screening categories.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cantSplit/>
        </w:trPr>
        <w:tc>
          <w:tcPr>
            <w:tcW w:type="dxa" w:w="2721"/>
          </w:tcPr>
          <w:p>
            <w:r>
              <w:rPr>
                <w:b/>
                <w:sz w:val="17"/>
              </w:rPr>
              <w:t>Family</w:t>
            </w:r>
          </w:p>
        </w:tc>
        <w:tc>
          <w:tcPr>
            <w:tcW w:type="dxa" w:w="1134"/>
          </w:tcPr>
          <w:p>
            <w:r>
              <w:rPr>
                <w:b/>
                <w:sz w:val="17"/>
              </w:rPr>
              <w:t>Type</w:t>
            </w:r>
          </w:p>
        </w:tc>
        <w:tc>
          <w:tcPr>
            <w:tcW w:type="dxa" w:w="850"/>
          </w:tcPr>
          <w:p>
            <w:r>
              <w:rPr>
                <w:b/>
                <w:sz w:val="17"/>
              </w:rPr>
              <w:t>Tests</w:t>
            </w:r>
          </w:p>
        </w:tc>
        <w:tc>
          <w:tcPr>
            <w:tcW w:type="dxa" w:w="850"/>
          </w:tcPr>
          <w:p>
            <w:r>
              <w:rPr>
                <w:b/>
                <w:sz w:val="17"/>
              </w:rPr>
              <w:t>Cancers</w:t>
            </w:r>
          </w:p>
        </w:tc>
        <w:tc>
          <w:tcPr>
            <w:tcW w:type="dxa" w:w="850"/>
          </w:tcPr>
          <w:p>
            <w:r>
              <w:rPr>
                <w:b/>
                <w:sz w:val="17"/>
              </w:rPr>
              <w:t>Higher effect</w:t>
            </w:r>
          </w:p>
        </w:tc>
        <w:tc>
          <w:tcPr>
            <w:tcW w:type="dxa" w:w="850"/>
          </w:tcPr>
          <w:p>
            <w:r>
              <w:rPr>
                <w:b/>
                <w:sz w:val="17"/>
              </w:rPr>
              <w:t>Moderate effect</w:t>
            </w:r>
          </w:p>
        </w:tc>
        <w:tc>
          <w:tcPr>
            <w:tcW w:type="dxa" w:w="850"/>
          </w:tcPr>
          <w:p>
            <w:r>
              <w:rPr>
                <w:b/>
                <w:sz w:val="17"/>
              </w:rPr>
              <w:t>Screen-negative</w:t>
            </w:r>
          </w:p>
        </w:tc>
      </w:tr>
      <w:tr>
        <w:trPr>
          <w:cantSplit/>
        </w:trPr>
        <w:tc>
          <w:tcPr>
            <w:tcW w:type="dxa" w:w="2721"/>
            <w:vAlign w:val="center"/>
          </w:tcPr>
          <w:p>
            <w:r>
              <w:rPr>
                <w:sz w:val="16"/>
              </w:rPr>
              <w:t>aneuploidy</w:t>
            </w:r>
          </w:p>
        </w:tc>
        <w:tc>
          <w:tcPr>
            <w:tcW w:type="dxa" w:w="1134"/>
            <w:vAlign w:val="center"/>
          </w:tcPr>
          <w:p>
            <w:r>
              <w:rPr>
                <w:sz w:val="16"/>
              </w:rPr>
              <w:t>continuous</w:t>
            </w:r>
          </w:p>
        </w:tc>
        <w:tc>
          <w:tcPr>
            <w:tcW w:type="dxa" w:w="850"/>
            <w:vAlign w:val="center"/>
          </w:tcPr>
          <w:p>
            <w:r>
              <w:rPr>
                <w:sz w:val="16"/>
              </w:rPr>
              <w:t>90</w:t>
            </w:r>
          </w:p>
        </w:tc>
        <w:tc>
          <w:tcPr>
            <w:tcW w:type="dxa" w:w="850"/>
            <w:vAlign w:val="center"/>
          </w:tcPr>
          <w:p>
            <w:r>
              <w:rPr>
                <w:sz w:val="16"/>
              </w:rPr>
              <w:t>30</w:t>
            </w:r>
          </w:p>
        </w:tc>
        <w:tc>
          <w:tcPr>
            <w:tcW w:type="dxa" w:w="850"/>
            <w:vAlign w:val="center"/>
          </w:tcPr>
          <w:p>
            <w:r>
              <w:rPr>
                <w:sz w:val="16"/>
              </w:rPr>
              <w:t>0</w:t>
            </w:r>
          </w:p>
        </w:tc>
        <w:tc>
          <w:tcPr>
            <w:tcW w:type="dxa" w:w="850"/>
            <w:vAlign w:val="center"/>
          </w:tcPr>
          <w:p>
            <w:r>
              <w:rPr>
                <w:sz w:val="16"/>
              </w:rPr>
              <w:t>9</w:t>
            </w:r>
          </w:p>
        </w:tc>
        <w:tc>
          <w:tcPr>
            <w:tcW w:type="dxa" w:w="850"/>
            <w:vAlign w:val="center"/>
          </w:tcPr>
          <w:p>
            <w:r>
              <w:rPr>
                <w:sz w:val="16"/>
              </w:rPr>
              <w:t>81</w:t>
            </w:r>
          </w:p>
        </w:tc>
      </w:tr>
      <w:tr>
        <w:trPr>
          <w:cantSplit/>
        </w:trPr>
        <w:tc>
          <w:tcPr>
            <w:tcW w:type="dxa" w:w="2721"/>
            <w:vAlign w:val="center"/>
          </w:tcPr>
          <w:p>
            <w:r>
              <w:rPr>
                <w:sz w:val="16"/>
              </w:rPr>
              <w:t>aneuploidy</w:t>
            </w:r>
          </w:p>
        </w:tc>
        <w:tc>
          <w:tcPr>
            <w:tcW w:type="dxa" w:w="1134"/>
            <w:vAlign w:val="center"/>
          </w:tcPr>
          <w:p>
            <w:r>
              <w:rPr>
                <w:sz w:val="16"/>
              </w:rPr>
              <w:t>binary</w:t>
            </w:r>
          </w:p>
        </w:tc>
        <w:tc>
          <w:tcPr>
            <w:tcW w:type="dxa" w:w="850"/>
            <w:vAlign w:val="center"/>
          </w:tcPr>
          <w:p>
            <w:r>
              <w:rPr>
                <w:sz w:val="16"/>
              </w:rPr>
              <w:t>22</w:t>
            </w:r>
          </w:p>
        </w:tc>
        <w:tc>
          <w:tcPr>
            <w:tcW w:type="dxa" w:w="850"/>
            <w:vAlign w:val="center"/>
          </w:tcPr>
          <w:p>
            <w:r>
              <w:rPr>
                <w:sz w:val="16"/>
              </w:rPr>
              <w:t>22</w:t>
            </w:r>
          </w:p>
        </w:tc>
        <w:tc>
          <w:tcPr>
            <w:tcW w:type="dxa" w:w="850"/>
            <w:vAlign w:val="center"/>
          </w:tcPr>
          <w:p>
            <w:r>
              <w:rPr>
                <w:sz w:val="16"/>
              </w:rPr>
              <w:t>1</w:t>
            </w:r>
          </w:p>
        </w:tc>
        <w:tc>
          <w:tcPr>
            <w:tcW w:type="dxa" w:w="850"/>
            <w:vAlign w:val="center"/>
          </w:tcPr>
          <w:p>
            <w:r>
              <w:rPr>
                <w:sz w:val="16"/>
              </w:rPr>
              <w:t>12</w:t>
            </w:r>
          </w:p>
        </w:tc>
        <w:tc>
          <w:tcPr>
            <w:tcW w:type="dxa" w:w="850"/>
            <w:vAlign w:val="center"/>
          </w:tcPr>
          <w:p>
            <w:r>
              <w:rPr>
                <w:sz w:val="16"/>
              </w:rPr>
              <w:t>9</w:t>
            </w:r>
          </w:p>
        </w:tc>
      </w:tr>
      <w:tr>
        <w:trPr>
          <w:cantSplit/>
        </w:trPr>
        <w:tc>
          <w:tcPr>
            <w:tcW w:type="dxa" w:w="2721"/>
            <w:vAlign w:val="center"/>
          </w:tcPr>
          <w:p>
            <w:r>
              <w:rPr>
                <w:sz w:val="16"/>
              </w:rPr>
              <w:t>cancer-gene mutation</w:t>
            </w:r>
          </w:p>
        </w:tc>
        <w:tc>
          <w:tcPr>
            <w:tcW w:type="dxa" w:w="1134"/>
            <w:vAlign w:val="center"/>
          </w:tcPr>
          <w:p>
            <w:r>
              <w:rPr>
                <w:sz w:val="16"/>
              </w:rPr>
              <w:t>binary</w:t>
            </w:r>
          </w:p>
        </w:tc>
        <w:tc>
          <w:tcPr>
            <w:tcW w:type="dxa" w:w="850"/>
            <w:vAlign w:val="center"/>
          </w:tcPr>
          <w:p>
            <w:r>
              <w:rPr>
                <w:sz w:val="16"/>
              </w:rPr>
              <w:t>238</w:t>
            </w:r>
          </w:p>
        </w:tc>
        <w:tc>
          <w:tcPr>
            <w:tcW w:type="dxa" w:w="850"/>
            <w:vAlign w:val="center"/>
          </w:tcPr>
          <w:p>
            <w:r>
              <w:rPr>
                <w:sz w:val="16"/>
              </w:rPr>
              <w:t>25</w:t>
            </w:r>
          </w:p>
        </w:tc>
        <w:tc>
          <w:tcPr>
            <w:tcW w:type="dxa" w:w="850"/>
            <w:vAlign w:val="center"/>
          </w:tcPr>
          <w:p>
            <w:r>
              <w:rPr>
                <w:sz w:val="16"/>
              </w:rPr>
              <w:t>16</w:t>
            </w:r>
          </w:p>
        </w:tc>
        <w:tc>
          <w:tcPr>
            <w:tcW w:type="dxa" w:w="850"/>
            <w:vAlign w:val="center"/>
          </w:tcPr>
          <w:p>
            <w:r>
              <w:rPr>
                <w:sz w:val="16"/>
              </w:rPr>
              <w:t>25</w:t>
            </w:r>
          </w:p>
        </w:tc>
        <w:tc>
          <w:tcPr>
            <w:tcW w:type="dxa" w:w="850"/>
            <w:vAlign w:val="center"/>
          </w:tcPr>
          <w:p>
            <w:r>
              <w:rPr>
                <w:sz w:val="16"/>
              </w:rPr>
              <w:t>197</w:t>
            </w:r>
          </w:p>
        </w:tc>
      </w:tr>
      <w:tr>
        <w:trPr>
          <w:cantSplit/>
        </w:trPr>
        <w:tc>
          <w:tcPr>
            <w:tcW w:type="dxa" w:w="2721"/>
            <w:vAlign w:val="center"/>
          </w:tcPr>
          <w:p>
            <w:r>
              <w:rPr>
                <w:sz w:val="16"/>
              </w:rPr>
              <w:t>fusion</w:t>
            </w:r>
          </w:p>
        </w:tc>
        <w:tc>
          <w:tcPr>
            <w:tcW w:type="dxa" w:w="1134"/>
            <w:vAlign w:val="center"/>
          </w:tcPr>
          <w:p>
            <w:r>
              <w:rPr>
                <w:sz w:val="16"/>
              </w:rPr>
              <w:t>continuous</w:t>
            </w:r>
          </w:p>
        </w:tc>
        <w:tc>
          <w:tcPr>
            <w:tcW w:type="dxa" w:w="850"/>
            <w:vAlign w:val="center"/>
          </w:tcPr>
          <w:p>
            <w:r>
              <w:rPr>
                <w:sz w:val="16"/>
              </w:rPr>
              <w:t>30</w:t>
            </w:r>
          </w:p>
        </w:tc>
        <w:tc>
          <w:tcPr>
            <w:tcW w:type="dxa" w:w="850"/>
            <w:vAlign w:val="center"/>
          </w:tcPr>
          <w:p>
            <w:r>
              <w:rPr>
                <w:sz w:val="16"/>
              </w:rPr>
              <w:t>30</w:t>
            </w:r>
          </w:p>
        </w:tc>
        <w:tc>
          <w:tcPr>
            <w:tcW w:type="dxa" w:w="850"/>
            <w:vAlign w:val="center"/>
          </w:tcPr>
          <w:p>
            <w:r>
              <w:rPr>
                <w:sz w:val="16"/>
              </w:rPr>
              <w:t>0</w:t>
            </w:r>
          </w:p>
        </w:tc>
        <w:tc>
          <w:tcPr>
            <w:tcW w:type="dxa" w:w="850"/>
            <w:vAlign w:val="center"/>
          </w:tcPr>
          <w:p>
            <w:r>
              <w:rPr>
                <w:sz w:val="16"/>
              </w:rPr>
              <w:t>3</w:t>
            </w:r>
          </w:p>
        </w:tc>
        <w:tc>
          <w:tcPr>
            <w:tcW w:type="dxa" w:w="850"/>
            <w:vAlign w:val="center"/>
          </w:tcPr>
          <w:p>
            <w:r>
              <w:rPr>
                <w:sz w:val="16"/>
              </w:rPr>
              <w:t>27</w:t>
            </w:r>
          </w:p>
        </w:tc>
      </w:tr>
      <w:tr>
        <w:trPr>
          <w:cantSplit/>
        </w:trPr>
        <w:tc>
          <w:tcPr>
            <w:tcW w:type="dxa" w:w="2721"/>
            <w:vAlign w:val="center"/>
          </w:tcPr>
          <w:p>
            <w:r>
              <w:rPr>
                <w:sz w:val="16"/>
              </w:rPr>
              <w:t>fusion</w:t>
            </w:r>
          </w:p>
        </w:tc>
        <w:tc>
          <w:tcPr>
            <w:tcW w:type="dxa" w:w="1134"/>
            <w:vAlign w:val="center"/>
          </w:tcPr>
          <w:p>
            <w:r>
              <w:rPr>
                <w:sz w:val="16"/>
              </w:rPr>
              <w:t>binary</w:t>
            </w:r>
          </w:p>
        </w:tc>
        <w:tc>
          <w:tcPr>
            <w:tcW w:type="dxa" w:w="850"/>
            <w:vAlign w:val="center"/>
          </w:tcPr>
          <w:p>
            <w:r>
              <w:rPr>
                <w:sz w:val="16"/>
              </w:rPr>
              <w:t>27</w:t>
            </w:r>
          </w:p>
        </w:tc>
        <w:tc>
          <w:tcPr>
            <w:tcW w:type="dxa" w:w="850"/>
            <w:vAlign w:val="center"/>
          </w:tcPr>
          <w:p>
            <w:r>
              <w:rPr>
                <w:sz w:val="16"/>
              </w:rPr>
              <w:t>25</w:t>
            </w:r>
          </w:p>
        </w:tc>
        <w:tc>
          <w:tcPr>
            <w:tcW w:type="dxa" w:w="850"/>
            <w:vAlign w:val="center"/>
          </w:tcPr>
          <w:p>
            <w:r>
              <w:rPr>
                <w:sz w:val="16"/>
              </w:rPr>
              <w:t>1</w:t>
            </w:r>
          </w:p>
        </w:tc>
        <w:tc>
          <w:tcPr>
            <w:tcW w:type="dxa" w:w="850"/>
            <w:vAlign w:val="center"/>
          </w:tcPr>
          <w:p>
            <w:r>
              <w:rPr>
                <w:sz w:val="16"/>
              </w:rPr>
              <w:t>7</w:t>
            </w:r>
          </w:p>
        </w:tc>
        <w:tc>
          <w:tcPr>
            <w:tcW w:type="dxa" w:w="850"/>
            <w:vAlign w:val="center"/>
          </w:tcPr>
          <w:p>
            <w:r>
              <w:rPr>
                <w:sz w:val="16"/>
              </w:rPr>
              <w:t>19</w:t>
            </w:r>
          </w:p>
        </w:tc>
      </w:tr>
      <w:tr>
        <w:trPr>
          <w:cantSplit/>
        </w:trPr>
        <w:tc>
          <w:tcPr>
            <w:tcW w:type="dxa" w:w="2721"/>
            <w:vAlign w:val="center"/>
          </w:tcPr>
          <w:p>
            <w:r>
              <w:rPr>
                <w:sz w:val="16"/>
              </w:rPr>
              <w:t>MSI</w:t>
            </w:r>
          </w:p>
        </w:tc>
        <w:tc>
          <w:tcPr>
            <w:tcW w:type="dxa" w:w="1134"/>
            <w:vAlign w:val="center"/>
          </w:tcPr>
          <w:p>
            <w:r>
              <w:rPr>
                <w:sz w:val="16"/>
              </w:rPr>
              <w:t>continuous</w:t>
            </w:r>
          </w:p>
        </w:tc>
        <w:tc>
          <w:tcPr>
            <w:tcW w:type="dxa" w:w="850"/>
            <w:vAlign w:val="center"/>
          </w:tcPr>
          <w:p>
            <w:r>
              <w:rPr>
                <w:sz w:val="16"/>
              </w:rPr>
              <w:t>60</w:t>
            </w:r>
          </w:p>
        </w:tc>
        <w:tc>
          <w:tcPr>
            <w:tcW w:type="dxa" w:w="850"/>
            <w:vAlign w:val="center"/>
          </w:tcPr>
          <w:p>
            <w:r>
              <w:rPr>
                <w:sz w:val="16"/>
              </w:rPr>
              <w:t>30</w:t>
            </w:r>
          </w:p>
        </w:tc>
        <w:tc>
          <w:tcPr>
            <w:tcW w:type="dxa" w:w="850"/>
            <w:vAlign w:val="center"/>
          </w:tcPr>
          <w:p>
            <w:r>
              <w:rPr>
                <w:sz w:val="16"/>
              </w:rPr>
              <w:t>0</w:t>
            </w:r>
          </w:p>
        </w:tc>
        <w:tc>
          <w:tcPr>
            <w:tcW w:type="dxa" w:w="850"/>
            <w:vAlign w:val="center"/>
          </w:tcPr>
          <w:p>
            <w:r>
              <w:rPr>
                <w:sz w:val="16"/>
              </w:rPr>
              <w:t>2</w:t>
            </w:r>
          </w:p>
        </w:tc>
        <w:tc>
          <w:tcPr>
            <w:tcW w:type="dxa" w:w="850"/>
            <w:vAlign w:val="center"/>
          </w:tcPr>
          <w:p>
            <w:r>
              <w:rPr>
                <w:sz w:val="16"/>
              </w:rPr>
              <w:t>58</w:t>
            </w:r>
          </w:p>
        </w:tc>
      </w:tr>
      <w:tr>
        <w:trPr>
          <w:cantSplit/>
        </w:trPr>
        <w:tc>
          <w:tcPr>
            <w:tcW w:type="dxa" w:w="2721"/>
            <w:vAlign w:val="center"/>
          </w:tcPr>
          <w:p>
            <w:r>
              <w:rPr>
                <w:sz w:val="16"/>
              </w:rPr>
              <w:t>MSI</w:t>
            </w:r>
          </w:p>
        </w:tc>
        <w:tc>
          <w:tcPr>
            <w:tcW w:type="dxa" w:w="1134"/>
            <w:vAlign w:val="center"/>
          </w:tcPr>
          <w:p>
            <w:r>
              <w:rPr>
                <w:sz w:val="16"/>
              </w:rPr>
              <w:t>binary</w:t>
            </w:r>
          </w:p>
        </w:tc>
        <w:tc>
          <w:tcPr>
            <w:tcW w:type="dxa" w:w="850"/>
            <w:vAlign w:val="center"/>
          </w:tcPr>
          <w:p>
            <w:r>
              <w:rPr>
                <w:sz w:val="16"/>
              </w:rPr>
              <w:t>3</w:t>
            </w:r>
          </w:p>
        </w:tc>
        <w:tc>
          <w:tcPr>
            <w:tcW w:type="dxa" w:w="850"/>
            <w:vAlign w:val="center"/>
          </w:tcPr>
          <w:p>
            <w:r>
              <w:rPr>
                <w:sz w:val="16"/>
              </w:rPr>
              <w:t>3</w:t>
            </w:r>
          </w:p>
        </w:tc>
        <w:tc>
          <w:tcPr>
            <w:tcW w:type="dxa" w:w="850"/>
            <w:vAlign w:val="center"/>
          </w:tcPr>
          <w:p>
            <w:r>
              <w:rPr>
                <w:sz w:val="16"/>
              </w:rPr>
              <w:t>2</w:t>
            </w:r>
          </w:p>
        </w:tc>
        <w:tc>
          <w:tcPr>
            <w:tcW w:type="dxa" w:w="850"/>
            <w:vAlign w:val="center"/>
          </w:tcPr>
          <w:p>
            <w:r>
              <w:rPr>
                <w:sz w:val="16"/>
              </w:rPr>
              <w:t>1</w:t>
            </w:r>
          </w:p>
        </w:tc>
        <w:tc>
          <w:tcPr>
            <w:tcW w:type="dxa" w:w="850"/>
            <w:vAlign w:val="center"/>
          </w:tcPr>
          <w:p>
            <w:r>
              <w:rPr>
                <w:sz w:val="16"/>
              </w:rPr>
              <w:t>0</w:t>
            </w:r>
          </w:p>
        </w:tc>
      </w:tr>
      <w:tr>
        <w:trPr>
          <w:cantSplit/>
        </w:trPr>
        <w:tc>
          <w:tcPr>
            <w:tcW w:type="dxa" w:w="2721"/>
            <w:vAlign w:val="center"/>
          </w:tcPr>
          <w:p>
            <w:r>
              <w:rPr>
                <w:sz w:val="16"/>
              </w:rPr>
              <w:t>strict MSI sensitivity</w:t>
            </w:r>
          </w:p>
        </w:tc>
        <w:tc>
          <w:tcPr>
            <w:tcW w:type="dxa" w:w="1134"/>
            <w:vAlign w:val="center"/>
          </w:tcPr>
          <w:p>
            <w:r>
              <w:rPr>
                <w:sz w:val="16"/>
              </w:rPr>
              <w:t>binary</w:t>
            </w:r>
          </w:p>
        </w:tc>
        <w:tc>
          <w:tcPr>
            <w:tcW w:type="dxa" w:w="850"/>
            <w:vAlign w:val="center"/>
          </w:tcPr>
          <w:p>
            <w:r>
              <w:rPr>
                <w:sz w:val="16"/>
              </w:rPr>
              <w:t>3</w:t>
            </w:r>
          </w:p>
        </w:tc>
        <w:tc>
          <w:tcPr>
            <w:tcW w:type="dxa" w:w="850"/>
            <w:vAlign w:val="center"/>
          </w:tcPr>
          <w:p>
            <w:r>
              <w:rPr>
                <w:sz w:val="16"/>
              </w:rPr>
              <w:t>3</w:t>
            </w:r>
          </w:p>
        </w:tc>
        <w:tc>
          <w:tcPr>
            <w:tcW w:type="dxa" w:w="850"/>
            <w:vAlign w:val="center"/>
          </w:tcPr>
          <w:p>
            <w:r>
              <w:rPr>
                <w:sz w:val="16"/>
              </w:rPr>
              <w:t>2</w:t>
            </w:r>
          </w:p>
        </w:tc>
        <w:tc>
          <w:tcPr>
            <w:tcW w:type="dxa" w:w="850"/>
            <w:vAlign w:val="center"/>
          </w:tcPr>
          <w:p>
            <w:r>
              <w:rPr>
                <w:sz w:val="16"/>
              </w:rPr>
              <w:t>1</w:t>
            </w:r>
          </w:p>
        </w:tc>
        <w:tc>
          <w:tcPr>
            <w:tcW w:type="dxa" w:w="850"/>
            <w:vAlign w:val="center"/>
          </w:tcPr>
          <w:p>
            <w:r>
              <w:rPr>
                <w:sz w:val="16"/>
              </w:rPr>
              <w:t>0</w:t>
            </w:r>
          </w:p>
        </w:tc>
      </w:tr>
      <w:tr>
        <w:trPr>
          <w:cantSplit/>
        </w:trPr>
        <w:tc>
          <w:tcPr>
            <w:tcW w:type="dxa" w:w="2721"/>
            <w:vAlign w:val="center"/>
          </w:tcPr>
          <w:p>
            <w:r>
              <w:rPr>
                <w:sz w:val="16"/>
              </w:rPr>
              <w:t>oncogenic pathway</w:t>
            </w:r>
          </w:p>
        </w:tc>
        <w:tc>
          <w:tcPr>
            <w:tcW w:type="dxa" w:w="1134"/>
            <w:vAlign w:val="center"/>
          </w:tcPr>
          <w:p>
            <w:r>
              <w:rPr>
                <w:sz w:val="16"/>
              </w:rPr>
              <w:t>binary</w:t>
            </w:r>
          </w:p>
        </w:tc>
        <w:tc>
          <w:tcPr>
            <w:tcW w:type="dxa" w:w="850"/>
            <w:vAlign w:val="center"/>
          </w:tcPr>
          <w:p>
            <w:r>
              <w:rPr>
                <w:sz w:val="16"/>
              </w:rPr>
              <w:t>166</w:t>
            </w:r>
          </w:p>
        </w:tc>
        <w:tc>
          <w:tcPr>
            <w:tcW w:type="dxa" w:w="850"/>
            <w:vAlign w:val="center"/>
          </w:tcPr>
          <w:p>
            <w:r>
              <w:rPr>
                <w:sz w:val="16"/>
              </w:rPr>
              <w:t>26</w:t>
            </w:r>
          </w:p>
        </w:tc>
        <w:tc>
          <w:tcPr>
            <w:tcW w:type="dxa" w:w="850"/>
            <w:vAlign w:val="center"/>
          </w:tcPr>
          <w:p>
            <w:r>
              <w:rPr>
                <w:sz w:val="16"/>
              </w:rPr>
              <w:t>7</w:t>
            </w:r>
          </w:p>
        </w:tc>
        <w:tc>
          <w:tcPr>
            <w:tcW w:type="dxa" w:w="850"/>
            <w:vAlign w:val="center"/>
          </w:tcPr>
          <w:p>
            <w:r>
              <w:rPr>
                <w:sz w:val="16"/>
              </w:rPr>
              <w:t>29</w:t>
            </w:r>
          </w:p>
        </w:tc>
        <w:tc>
          <w:tcPr>
            <w:tcW w:type="dxa" w:w="850"/>
            <w:vAlign w:val="center"/>
          </w:tcPr>
          <w:p>
            <w:r>
              <w:rPr>
                <w:sz w:val="16"/>
              </w:rPr>
              <w:t>130</w:t>
            </w:r>
          </w:p>
        </w:tc>
      </w:tr>
      <w:tr>
        <w:trPr>
          <w:cantSplit/>
        </w:trPr>
        <w:tc>
          <w:tcPr>
            <w:tcW w:type="dxa" w:w="2721"/>
            <w:vAlign w:val="center"/>
          </w:tcPr>
          <w:p>
            <w:r>
              <w:rPr>
                <w:sz w:val="16"/>
              </w:rPr>
              <w:t>Thorsson immune/genomic-context</w:t>
            </w:r>
          </w:p>
        </w:tc>
        <w:tc>
          <w:tcPr>
            <w:tcW w:type="dxa" w:w="1134"/>
            <w:vAlign w:val="center"/>
          </w:tcPr>
          <w:p>
            <w:r>
              <w:rPr>
                <w:sz w:val="16"/>
              </w:rPr>
              <w:t>continuous</w:t>
            </w:r>
          </w:p>
        </w:tc>
        <w:tc>
          <w:tcPr>
            <w:tcW w:type="dxa" w:w="850"/>
            <w:vAlign w:val="center"/>
          </w:tcPr>
          <w:p>
            <w:r>
              <w:rPr>
                <w:sz w:val="16"/>
              </w:rPr>
              <w:t>1434</w:t>
            </w:r>
          </w:p>
        </w:tc>
        <w:tc>
          <w:tcPr>
            <w:tcW w:type="dxa" w:w="850"/>
            <w:vAlign w:val="center"/>
          </w:tcPr>
          <w:p>
            <w:r>
              <w:rPr>
                <w:sz w:val="16"/>
              </w:rPr>
              <w:t>30</w:t>
            </w:r>
          </w:p>
        </w:tc>
        <w:tc>
          <w:tcPr>
            <w:tcW w:type="dxa" w:w="850"/>
            <w:vAlign w:val="center"/>
          </w:tcPr>
          <w:p>
            <w:r>
              <w:rPr>
                <w:sz w:val="16"/>
              </w:rPr>
              <w:t>37</w:t>
            </w:r>
          </w:p>
        </w:tc>
        <w:tc>
          <w:tcPr>
            <w:tcW w:type="dxa" w:w="850"/>
            <w:vAlign w:val="center"/>
          </w:tcPr>
          <w:p>
            <w:r>
              <w:rPr>
                <w:sz w:val="16"/>
              </w:rPr>
              <w:t>168</w:t>
            </w:r>
          </w:p>
        </w:tc>
        <w:tc>
          <w:tcPr>
            <w:tcW w:type="dxa" w:w="850"/>
            <w:vAlign w:val="center"/>
          </w:tcPr>
          <w:p>
            <w:r>
              <w:rPr>
                <w:sz w:val="16"/>
              </w:rPr>
              <w:t>1229</w:t>
            </w:r>
          </w:p>
        </w:tc>
      </w:tr>
    </w:tbl>
    <w:p/>
    <w:p>
      <w:pPr>
        <w:pStyle w:val="Heading2"/>
      </w:pPr>
      <w:r>
        <w:t>Continuous immune, genomic-context and instability phenotypes</w:t>
      </w:r>
    </w:p>
    <w:p>
      <w:r>
        <w:t>Among continuous targets, 37 were within-cancer screen-positive with higher effects and 182 with moderate effects. The strongest effects were TGCT–TGF-beta Response (0.670); THYM–Th17 Cells (0.638); THCA–Lymphocyte Infiltration Signature Score (0.580); BRCA–Wound Healing (0.527); THCA–TGF-beta Response (0.522); SARC–Macrophage Regulation (0.520); KIRP–Proliferation (0.515); LUAD–Proliferation (0.512); BRCA–Proliferation (0.510); THCA–Th1 Cells (0.503). These results were cancer specific: the same endpoint could be strongly predictable in one tumour type and screen-negative in another.</w:t>
      </w:r>
    </w:p>
    <w:p>
      <w:r>
        <w:t>Of 219 within-cancer screen-positive continuous pairs, 219 met q&lt;0.05 under the stricter across-cancer family sensitivity after the 999-permutation refinement. Pairs passing this sensitivity are identified explicitly in the figure and machine-readable table; the remainder are cancer-specific candidates. The 0.001 minimum completed-test p-value should be considered when interpreting large global families.</w:t>
      </w:r>
    </w:p>
    <w:p>
      <w:pPr>
        <w:jc w:val="center"/>
      </w:pPr>
      <w:r>
        <w:drawing>
          <wp:inline xmlns:a="http://schemas.openxmlformats.org/drawingml/2006/main" xmlns:pic="http://schemas.openxmlformats.org/drawingml/2006/picture">
            <wp:extent cx="5806440" cy="4952551"/>
            <wp:docPr id="2" name="Picture 2"/>
            <wp:cNvGraphicFramePr>
              <a:graphicFrameLocks noChangeAspect="1"/>
            </wp:cNvGraphicFramePr>
            <a:graphic>
              <a:graphicData uri="http://schemas.openxmlformats.org/drawingml/2006/picture">
                <pic:pic>
                  <pic:nvPicPr>
                    <pic:cNvPr id="0" name="Figure2_continuous_atlas.png"/>
                    <pic:cNvPicPr/>
                  </pic:nvPicPr>
                  <pic:blipFill>
                    <a:blip r:embed="rId12"/>
                    <a:stretch>
                      <a:fillRect/>
                    </a:stretch>
                  </pic:blipFill>
                  <pic:spPr>
                    <a:xfrm>
                      <a:off x="0" y="0"/>
                      <a:ext cx="5806440" cy="4952551"/>
                    </a:xfrm>
                    <a:prstGeom prst="rect"/>
                  </pic:spPr>
                </pic:pic>
              </a:graphicData>
            </a:graphic>
          </wp:inline>
        </w:drawing>
      </w:r>
    </w:p>
    <w:p>
      <w:pPr>
        <w:pStyle w:val="Caption"/>
        <w:jc w:val="center"/>
      </w:pPr>
      <w:r>
        <w:t>Figure 2. Strongest within-cancer screen-positive continuous cancer–endpoint results. Q² is calculated from genuine patient-level outer-fold predictions; all tests remain available in the machine-readable atlas.</w:t>
      </w:r>
    </w:p>
    <w:p>
      <w:pPr>
        <w:pStyle w:val="Heading2"/>
      </w:pPr>
      <w:r>
        <w:t>Binary molecular phenotypes</w:t>
      </w:r>
    </w:p>
    <w:p>
      <w:r>
        <w:t>The binary atlas yielded 29 within-cancer higher-effect and 75 moderate-effect candidates. Leading results were THYM–GTF2I [mutation] (0.883); READ–APC [mutation] (0.862); READ–TP53 [mutation] (0.861); LGG–TP53 [mutation] (0.846); THCA–BRAF [mutation] (0.830); LGG–TP53 [pathway] (0.822); LGG–HIPPO [pathway] (0.811); COAD–APC [mutation] (0.793); UCEC–Any called fusion [fusion] (0.792); LGG–IDH1 [mutation] (0.786); COAD–MSI-H strict (MANTIS &gt;0.6) [strict MSI] (0.784); COAD–TP53 [mutation] (0.779). The complete table distinguishes tested-negative pairs from outcomes that failed prevalence or sample-size eligibility.</w:t>
      </w:r>
    </w:p>
    <w:p>
      <w:r>
        <w:t>Of 104 within-cancer screen-positive binary pairs, 102 also met the stricter across-cancer family q&lt;0.05, including 39 cancer–gene mutation pairs. Mutation pairs passing this stricter sensitivity are distinguished from those supported only within cancer; the 0.001 permutation resolution remains relevant for the full mutation family.</w:t>
      </w:r>
    </w:p>
    <w:p>
      <w:pPr>
        <w:jc w:val="center"/>
      </w:pPr>
      <w:r>
        <w:drawing>
          <wp:inline xmlns:a="http://schemas.openxmlformats.org/drawingml/2006/main" xmlns:pic="http://schemas.openxmlformats.org/drawingml/2006/picture">
            <wp:extent cx="5806440" cy="4873262"/>
            <wp:docPr id="3" name="Picture 3"/>
            <wp:cNvGraphicFramePr>
              <a:graphicFrameLocks noChangeAspect="1"/>
            </wp:cNvGraphicFramePr>
            <a:graphic>
              <a:graphicData uri="http://schemas.openxmlformats.org/drawingml/2006/picture">
                <pic:pic>
                  <pic:nvPicPr>
                    <pic:cNvPr id="0" name="Figure3_binary_atlas.png"/>
                    <pic:cNvPicPr/>
                  </pic:nvPicPr>
                  <pic:blipFill>
                    <a:blip r:embed="rId13"/>
                    <a:stretch>
                      <a:fillRect/>
                    </a:stretch>
                  </pic:blipFill>
                  <pic:spPr>
                    <a:xfrm>
                      <a:off x="0" y="0"/>
                      <a:ext cx="5806440" cy="4873262"/>
                    </a:xfrm>
                    <a:prstGeom prst="rect"/>
                  </pic:spPr>
                </pic:pic>
              </a:graphicData>
            </a:graphic>
          </wp:inline>
        </w:drawing>
      </w:r>
    </w:p>
    <w:p>
      <w:pPr>
        <w:pStyle w:val="Caption"/>
        <w:jc w:val="center"/>
      </w:pPr>
      <w:r>
        <w:t>Figure 3. Strongest within-cancer screen-positive binary molecular predictions using PLS latent scores and LDA. Point size represents the number of positive patients; colour indicates endpoint family and symbols report across-cancer correction status.</w:t>
      </w:r>
    </w:p>
    <w:p>
      <w:pPr>
        <w:jc w:val="center"/>
      </w:pPr>
      <w:r>
        <w:drawing>
          <wp:inline xmlns:a="http://schemas.openxmlformats.org/drawingml/2006/main" xmlns:pic="http://schemas.openxmlformats.org/drawingml/2006/picture">
            <wp:extent cx="5806440" cy="2806446"/>
            <wp:docPr id="4" name="Picture 4"/>
            <wp:cNvGraphicFramePr>
              <a:graphicFrameLocks noChangeAspect="1"/>
            </wp:cNvGraphicFramePr>
            <a:graphic>
              <a:graphicData uri="http://schemas.openxmlformats.org/drawingml/2006/picture">
                <pic:pic>
                  <pic:nvPicPr>
                    <pic:cNvPr id="0" name="Figure4_prediction_examples.png"/>
                    <pic:cNvPicPr/>
                  </pic:nvPicPr>
                  <pic:blipFill>
                    <a:blip r:embed="rId14"/>
                    <a:stretch>
                      <a:fillRect/>
                    </a:stretch>
                  </pic:blipFill>
                  <pic:spPr>
                    <a:xfrm>
                      <a:off x="0" y="0"/>
                      <a:ext cx="5806440" cy="2806446"/>
                    </a:xfrm>
                    <a:prstGeom prst="rect"/>
                  </pic:spPr>
                </pic:pic>
              </a:graphicData>
            </a:graphic>
          </wp:inline>
        </w:drawing>
      </w:r>
    </w:p>
    <w:p>
      <w:pPr>
        <w:pStyle w:val="Caption"/>
        <w:jc w:val="center"/>
      </w:pPr>
      <w:r>
        <w:t>Figure 4. Examples comparing observed outcomes with held-out predictions. Panel A shows the strongest primary patient-level nested-CV continuous result (TGCT TGF-beta Response); each point is one patient's observed value and genuine held-out prediction. Panel B shows the binary model with the largest mean repeated-CV balanced accuracy. Because independently fitted LDA scores need not share a raw scale, held-out scores are standardized within repeat before patient-level averaging for display; repeat-specific AUROCs use untransformed scores. These deliberately strong examples are illustrative, selection-conditioned internal TCGA results rather than external validation or calibration.</w:t>
      </w:r>
    </w:p>
    <w:p>
      <w:pPr>
        <w:pStyle w:val="Caption"/>
      </w:pPr>
      <w:r>
        <w:t>Table 2. Highlighted repeated nested-cross-validation performance with 95% patient-cluster bootstrap intervals.</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cantSplit/>
        </w:trPr>
        <w:tc>
          <w:tcPr>
            <w:tcW w:type="dxa" w:w="1949"/>
          </w:tcPr>
          <w:p>
            <w:r>
              <w:rPr>
                <w:b/>
                <w:sz w:val="17"/>
              </w:rPr>
              <w:t>Cancer–endpoint</w:t>
            </w:r>
          </w:p>
        </w:tc>
        <w:tc>
          <w:tcPr>
            <w:tcW w:type="dxa" w:w="1949"/>
          </w:tcPr>
          <w:p>
            <w:r>
              <w:rPr>
                <w:b/>
                <w:sz w:val="17"/>
              </w:rPr>
              <w:t>Type</w:t>
            </w:r>
          </w:p>
        </w:tc>
        <w:tc>
          <w:tcPr>
            <w:tcW w:type="dxa" w:w="1949"/>
          </w:tcPr>
          <w:p>
            <w:r>
              <w:rPr>
                <w:b/>
                <w:sz w:val="17"/>
              </w:rPr>
              <w:t>Q² or Se/Sp (95% CI)</w:t>
            </w:r>
          </w:p>
        </w:tc>
        <w:tc>
          <w:tcPr>
            <w:tcW w:type="dxa" w:w="1949"/>
          </w:tcPr>
          <w:p>
            <w:r>
              <w:rPr>
                <w:b/>
                <w:sz w:val="17"/>
              </w:rPr>
              <w:t>RMSE or BA (95% CI)</w:t>
            </w:r>
          </w:p>
        </w:tc>
        <w:tc>
          <w:tcPr>
            <w:tcW w:type="dxa" w:w="1949"/>
          </w:tcPr>
          <w:p>
            <w:r>
              <w:rPr>
                <w:b/>
                <w:sz w:val="17"/>
              </w:rPr>
              <w:t>Spearman or AUROC (95% CI)</w:t>
            </w:r>
          </w:p>
        </w:tc>
      </w:tr>
      <w:tr>
        <w:trPr>
          <w:cantSplit/>
        </w:trPr>
        <w:tc>
          <w:tcPr>
            <w:tcW w:type="dxa" w:w="1949"/>
            <w:vAlign w:val="center"/>
          </w:tcPr>
          <w:p>
            <w:r>
              <w:rPr>
                <w:sz w:val="16"/>
              </w:rPr>
              <w:t>TGCT–TGF-beta Response</w:t>
            </w:r>
          </w:p>
        </w:tc>
        <w:tc>
          <w:tcPr>
            <w:tcW w:type="dxa" w:w="1949"/>
            <w:vAlign w:val="center"/>
          </w:tcPr>
          <w:p>
            <w:r>
              <w:rPr>
                <w:sz w:val="16"/>
              </w:rPr>
              <w:t>continuous</w:t>
            </w:r>
          </w:p>
        </w:tc>
        <w:tc>
          <w:tcPr>
            <w:tcW w:type="dxa" w:w="1949"/>
            <w:vAlign w:val="center"/>
          </w:tcPr>
          <w:p>
            <w:r>
              <w:rPr>
                <w:sz w:val="16"/>
              </w:rPr>
              <w:t>0.670 (0.573–0.741)</w:t>
            </w:r>
          </w:p>
        </w:tc>
        <w:tc>
          <w:tcPr>
            <w:tcW w:type="dxa" w:w="1949"/>
            <w:vAlign w:val="center"/>
          </w:tcPr>
          <w:p>
            <w:r>
              <w:rPr>
                <w:sz w:val="16"/>
              </w:rPr>
              <w:t>0.303 (0.269–0.337)</w:t>
            </w:r>
          </w:p>
        </w:tc>
        <w:tc>
          <w:tcPr>
            <w:tcW w:type="dxa" w:w="1949"/>
            <w:vAlign w:val="center"/>
          </w:tcPr>
          <w:p>
            <w:r>
              <w:rPr>
                <w:sz w:val="16"/>
              </w:rPr>
              <w:t>0.791 (0.713–0.842)</w:t>
            </w:r>
          </w:p>
        </w:tc>
      </w:tr>
      <w:tr>
        <w:trPr>
          <w:cantSplit/>
        </w:trPr>
        <w:tc>
          <w:tcPr>
            <w:tcW w:type="dxa" w:w="1949"/>
            <w:vAlign w:val="center"/>
          </w:tcPr>
          <w:p>
            <w:r>
              <w:rPr>
                <w:sz w:val="16"/>
              </w:rPr>
              <w:t>THYM–Th17 Cells</w:t>
            </w:r>
          </w:p>
        </w:tc>
        <w:tc>
          <w:tcPr>
            <w:tcW w:type="dxa" w:w="1949"/>
            <w:vAlign w:val="center"/>
          </w:tcPr>
          <w:p>
            <w:r>
              <w:rPr>
                <w:sz w:val="16"/>
              </w:rPr>
              <w:t>continuous</w:t>
            </w:r>
          </w:p>
        </w:tc>
        <w:tc>
          <w:tcPr>
            <w:tcW w:type="dxa" w:w="1949"/>
            <w:vAlign w:val="center"/>
          </w:tcPr>
          <w:p>
            <w:r>
              <w:rPr>
                <w:sz w:val="16"/>
              </w:rPr>
              <w:t>0.594 (0.455–0.698)</w:t>
            </w:r>
          </w:p>
        </w:tc>
        <w:tc>
          <w:tcPr>
            <w:tcW w:type="dxa" w:w="1949"/>
            <w:vAlign w:val="center"/>
          </w:tcPr>
          <w:p>
            <w:r>
              <w:rPr>
                <w:sz w:val="16"/>
              </w:rPr>
              <w:t>1743.443 (1514.535–1979.481)</w:t>
            </w:r>
          </w:p>
        </w:tc>
        <w:tc>
          <w:tcPr>
            <w:tcW w:type="dxa" w:w="1949"/>
            <w:vAlign w:val="center"/>
          </w:tcPr>
          <w:p>
            <w:r>
              <w:rPr>
                <w:sz w:val="16"/>
              </w:rPr>
              <w:t>0.738 (0.636–0.811)</w:t>
            </w:r>
          </w:p>
        </w:tc>
      </w:tr>
      <w:tr>
        <w:trPr>
          <w:cantSplit/>
        </w:trPr>
        <w:tc>
          <w:tcPr>
            <w:tcW w:type="dxa" w:w="1949"/>
            <w:vAlign w:val="center"/>
          </w:tcPr>
          <w:p>
            <w:r>
              <w:rPr>
                <w:sz w:val="16"/>
              </w:rPr>
              <w:t>THCA–Lymphocyte Infiltration Signature Score</w:t>
            </w:r>
          </w:p>
        </w:tc>
        <w:tc>
          <w:tcPr>
            <w:tcW w:type="dxa" w:w="1949"/>
            <w:vAlign w:val="center"/>
          </w:tcPr>
          <w:p>
            <w:r>
              <w:rPr>
                <w:sz w:val="16"/>
              </w:rPr>
              <w:t>continuous</w:t>
            </w:r>
          </w:p>
        </w:tc>
        <w:tc>
          <w:tcPr>
            <w:tcW w:type="dxa" w:w="1949"/>
            <w:vAlign w:val="center"/>
          </w:tcPr>
          <w:p>
            <w:r>
              <w:rPr>
                <w:sz w:val="16"/>
              </w:rPr>
              <w:t>0.577 (0.511–0.636)</w:t>
            </w:r>
          </w:p>
        </w:tc>
        <w:tc>
          <w:tcPr>
            <w:tcW w:type="dxa" w:w="1949"/>
            <w:vAlign w:val="center"/>
          </w:tcPr>
          <w:p>
            <w:r>
              <w:rPr>
                <w:sz w:val="16"/>
              </w:rPr>
              <w:t>0.781 (0.722–0.844)</w:t>
            </w:r>
          </w:p>
        </w:tc>
        <w:tc>
          <w:tcPr>
            <w:tcW w:type="dxa" w:w="1949"/>
            <w:vAlign w:val="center"/>
          </w:tcPr>
          <w:p>
            <w:r>
              <w:rPr>
                <w:sz w:val="16"/>
              </w:rPr>
              <w:t>0.742 (0.693–0.786)</w:t>
            </w:r>
          </w:p>
        </w:tc>
      </w:tr>
      <w:tr>
        <w:trPr>
          <w:cantSplit/>
        </w:trPr>
        <w:tc>
          <w:tcPr>
            <w:tcW w:type="dxa" w:w="1949"/>
            <w:vAlign w:val="center"/>
          </w:tcPr>
          <w:p>
            <w:r>
              <w:rPr>
                <w:sz w:val="16"/>
              </w:rPr>
              <w:t>BRCA–Wound Healing</w:t>
            </w:r>
          </w:p>
        </w:tc>
        <w:tc>
          <w:tcPr>
            <w:tcW w:type="dxa" w:w="1949"/>
            <w:vAlign w:val="center"/>
          </w:tcPr>
          <w:p>
            <w:r>
              <w:rPr>
                <w:sz w:val="16"/>
              </w:rPr>
              <w:t>continuous</w:t>
            </w:r>
          </w:p>
        </w:tc>
        <w:tc>
          <w:tcPr>
            <w:tcW w:type="dxa" w:w="1949"/>
            <w:vAlign w:val="center"/>
          </w:tcPr>
          <w:p>
            <w:r>
              <w:rPr>
                <w:sz w:val="16"/>
              </w:rPr>
              <w:t>0.528 (0.483–0.569)</w:t>
            </w:r>
          </w:p>
        </w:tc>
        <w:tc>
          <w:tcPr>
            <w:tcW w:type="dxa" w:w="1949"/>
            <w:vAlign w:val="center"/>
          </w:tcPr>
          <w:p>
            <w:r>
              <w:rPr>
                <w:sz w:val="16"/>
              </w:rPr>
              <w:t>0.111 (0.106–0.116)</w:t>
            </w:r>
          </w:p>
        </w:tc>
        <w:tc>
          <w:tcPr>
            <w:tcW w:type="dxa" w:w="1949"/>
            <w:vAlign w:val="center"/>
          </w:tcPr>
          <w:p>
            <w:r>
              <w:rPr>
                <w:sz w:val="16"/>
              </w:rPr>
              <w:t>0.724 (0.694–0.753)</w:t>
            </w:r>
          </w:p>
        </w:tc>
      </w:tr>
      <w:tr>
        <w:trPr>
          <w:cantSplit/>
        </w:trPr>
        <w:tc>
          <w:tcPr>
            <w:tcW w:type="dxa" w:w="1949"/>
            <w:vAlign w:val="center"/>
          </w:tcPr>
          <w:p>
            <w:r>
              <w:rPr>
                <w:sz w:val="16"/>
              </w:rPr>
              <w:t>LGG–TP53</w:t>
            </w:r>
          </w:p>
        </w:tc>
        <w:tc>
          <w:tcPr>
            <w:tcW w:type="dxa" w:w="1949"/>
            <w:vAlign w:val="center"/>
          </w:tcPr>
          <w:p>
            <w:r>
              <w:rPr>
                <w:sz w:val="16"/>
              </w:rPr>
              <w:t>binary</w:t>
            </w:r>
          </w:p>
        </w:tc>
        <w:tc>
          <w:tcPr>
            <w:tcW w:type="dxa" w:w="1949"/>
            <w:vAlign w:val="center"/>
          </w:tcPr>
          <w:p>
            <w:r>
              <w:rPr>
                <w:sz w:val="16"/>
              </w:rPr>
              <w:t>Se 0.839 (0.795–0.877); Sp 0.885 (0.848–0.920)</w:t>
            </w:r>
          </w:p>
        </w:tc>
        <w:tc>
          <w:tcPr>
            <w:tcW w:type="dxa" w:w="1949"/>
            <w:vAlign w:val="center"/>
          </w:tcPr>
          <w:p>
            <w:r>
              <w:rPr>
                <w:sz w:val="16"/>
              </w:rPr>
              <w:t>BA 0.862 (0.833–0.888)</w:t>
            </w:r>
          </w:p>
        </w:tc>
        <w:tc>
          <w:tcPr>
            <w:tcW w:type="dxa" w:w="1949"/>
            <w:vAlign w:val="center"/>
          </w:tcPr>
          <w:p>
            <w:r>
              <w:rPr>
                <w:sz w:val="16"/>
              </w:rPr>
              <w:t>AUROC 0.908 (0.880–0.932)</w:t>
            </w:r>
          </w:p>
        </w:tc>
      </w:tr>
      <w:tr>
        <w:trPr>
          <w:cantSplit/>
        </w:trPr>
        <w:tc>
          <w:tcPr>
            <w:tcW w:type="dxa" w:w="1949"/>
            <w:vAlign w:val="center"/>
          </w:tcPr>
          <w:p>
            <w:r>
              <w:rPr>
                <w:sz w:val="16"/>
              </w:rPr>
              <w:t>THYM–GTF2I</w:t>
            </w:r>
          </w:p>
        </w:tc>
        <w:tc>
          <w:tcPr>
            <w:tcW w:type="dxa" w:w="1949"/>
            <w:vAlign w:val="center"/>
          </w:tcPr>
          <w:p>
            <w:r>
              <w:rPr>
                <w:sz w:val="16"/>
              </w:rPr>
              <w:t>binary</w:t>
            </w:r>
          </w:p>
        </w:tc>
        <w:tc>
          <w:tcPr>
            <w:tcW w:type="dxa" w:w="1949"/>
            <w:vAlign w:val="center"/>
          </w:tcPr>
          <w:p>
            <w:r>
              <w:rPr>
                <w:sz w:val="16"/>
              </w:rPr>
              <w:t>Se 0.878 (0.804–0.940); Sp 0.839 (0.748–0.916)</w:t>
            </w:r>
          </w:p>
        </w:tc>
        <w:tc>
          <w:tcPr>
            <w:tcW w:type="dxa" w:w="1949"/>
            <w:vAlign w:val="center"/>
          </w:tcPr>
          <w:p>
            <w:r>
              <w:rPr>
                <w:sz w:val="16"/>
              </w:rPr>
              <w:t>BA 0.859 (0.803–0.905)</w:t>
            </w:r>
          </w:p>
        </w:tc>
        <w:tc>
          <w:tcPr>
            <w:tcW w:type="dxa" w:w="1949"/>
            <w:vAlign w:val="center"/>
          </w:tcPr>
          <w:p>
            <w:r>
              <w:rPr>
                <w:sz w:val="16"/>
              </w:rPr>
              <w:t>AUROC 0.907 (0.852–0.955)</w:t>
            </w:r>
          </w:p>
        </w:tc>
      </w:tr>
      <w:tr>
        <w:trPr>
          <w:cantSplit/>
        </w:trPr>
        <w:tc>
          <w:tcPr>
            <w:tcW w:type="dxa" w:w="1949"/>
            <w:vAlign w:val="center"/>
          </w:tcPr>
          <w:p>
            <w:r>
              <w:rPr>
                <w:sz w:val="16"/>
              </w:rPr>
              <w:t>READ–TP53</w:t>
            </w:r>
          </w:p>
        </w:tc>
        <w:tc>
          <w:tcPr>
            <w:tcW w:type="dxa" w:w="1949"/>
            <w:vAlign w:val="center"/>
          </w:tcPr>
          <w:p>
            <w:r>
              <w:rPr>
                <w:sz w:val="16"/>
              </w:rPr>
              <w:t>binary</w:t>
            </w:r>
          </w:p>
        </w:tc>
        <w:tc>
          <w:tcPr>
            <w:tcW w:type="dxa" w:w="1949"/>
            <w:vAlign w:val="center"/>
          </w:tcPr>
          <w:p>
            <w:r>
              <w:rPr>
                <w:sz w:val="16"/>
              </w:rPr>
              <w:t>Se 0.912 (0.855–0.966); Sp 0.803 (0.704–0.890)</w:t>
            </w:r>
          </w:p>
        </w:tc>
        <w:tc>
          <w:tcPr>
            <w:tcW w:type="dxa" w:w="1949"/>
            <w:vAlign w:val="center"/>
          </w:tcPr>
          <w:p>
            <w:r>
              <w:rPr>
                <w:sz w:val="16"/>
              </w:rPr>
              <w:t>BA 0.858 (0.801–0.910)</w:t>
            </w:r>
          </w:p>
        </w:tc>
        <w:tc>
          <w:tcPr>
            <w:tcW w:type="dxa" w:w="1949"/>
            <w:vAlign w:val="center"/>
          </w:tcPr>
          <w:p>
            <w:r>
              <w:rPr>
                <w:sz w:val="16"/>
              </w:rPr>
              <w:t>AUROC 0.912 (0.860–0.956)</w:t>
            </w:r>
          </w:p>
        </w:tc>
      </w:tr>
      <w:tr>
        <w:trPr>
          <w:cantSplit/>
        </w:trPr>
        <w:tc>
          <w:tcPr>
            <w:tcW w:type="dxa" w:w="1949"/>
            <w:vAlign w:val="center"/>
          </w:tcPr>
          <w:p>
            <w:r>
              <w:rPr>
                <w:sz w:val="16"/>
              </w:rPr>
              <w:t>THCA–BRAF</w:t>
            </w:r>
          </w:p>
        </w:tc>
        <w:tc>
          <w:tcPr>
            <w:tcW w:type="dxa" w:w="1949"/>
            <w:vAlign w:val="center"/>
          </w:tcPr>
          <w:p>
            <w:r>
              <w:rPr>
                <w:sz w:val="16"/>
              </w:rPr>
              <w:t>binary</w:t>
            </w:r>
          </w:p>
        </w:tc>
        <w:tc>
          <w:tcPr>
            <w:tcW w:type="dxa" w:w="1949"/>
            <w:vAlign w:val="center"/>
          </w:tcPr>
          <w:p>
            <w:r>
              <w:rPr>
                <w:sz w:val="16"/>
              </w:rPr>
              <w:t>Se 0.926 (0.897–0.952); Sp 0.747 (0.688–0.801)</w:t>
            </w:r>
          </w:p>
        </w:tc>
        <w:tc>
          <w:tcPr>
            <w:tcW w:type="dxa" w:w="1949"/>
            <w:vAlign w:val="center"/>
          </w:tcPr>
          <w:p>
            <w:r>
              <w:rPr>
                <w:sz w:val="16"/>
              </w:rPr>
              <w:t>BA 0.837 (0.805–0.866)</w:t>
            </w:r>
          </w:p>
        </w:tc>
        <w:tc>
          <w:tcPr>
            <w:tcW w:type="dxa" w:w="1949"/>
            <w:vAlign w:val="center"/>
          </w:tcPr>
          <w:p>
            <w:r>
              <w:rPr>
                <w:sz w:val="16"/>
              </w:rPr>
              <w:t>AUROC 0.894 (0.862–0.924)</w:t>
            </w:r>
          </w:p>
        </w:tc>
      </w:tr>
    </w:tbl>
    <w:p/>
    <w:p>
      <w:pPr>
        <w:jc w:val="center"/>
      </w:pPr>
      <w:r>
        <w:drawing>
          <wp:inline xmlns:a="http://schemas.openxmlformats.org/drawingml/2006/main" xmlns:pic="http://schemas.openxmlformats.org/drawingml/2006/picture">
            <wp:extent cx="5806440" cy="4125628"/>
            <wp:docPr id="5" name="Picture 5"/>
            <wp:cNvGraphicFramePr>
              <a:graphicFrameLocks noChangeAspect="1"/>
            </wp:cNvGraphicFramePr>
            <a:graphic>
              <a:graphicData uri="http://schemas.openxmlformats.org/drawingml/2006/picture">
                <pic:pic>
                  <pic:nvPicPr>
                    <pic:cNvPr id="0" name="Figure5_supported_counts.png"/>
                    <pic:cNvPicPr/>
                  </pic:nvPicPr>
                  <pic:blipFill>
                    <a:blip r:embed="rId15"/>
                    <a:stretch>
                      <a:fillRect/>
                    </a:stretch>
                  </pic:blipFill>
                  <pic:spPr>
                    <a:xfrm>
                      <a:off x="0" y="0"/>
                      <a:ext cx="5806440" cy="4125628"/>
                    </a:xfrm>
                    <a:prstGeom prst="rect"/>
                  </pic:spPr>
                </pic:pic>
              </a:graphicData>
            </a:graphic>
          </wp:inline>
        </w:drawing>
      </w:r>
    </w:p>
    <w:p>
      <w:pPr>
        <w:pStyle w:val="Caption"/>
        <w:jc w:val="center"/>
      </w:pPr>
      <w:r>
        <w:t>Figure 5. Breadth and family of within-cancer screen-positive prediction targets. Absence of an eligible target is distinct from a tested screen-negative result.</w:t>
      </w:r>
    </w:p>
    <w:p>
      <w:pPr>
        <w:pStyle w:val="Heading2"/>
      </w:pPr>
      <w:r>
        <w:t>Exportable linear baseline comparison</w:t>
      </w:r>
    </w:p>
    <w:p>
      <w:r>
        <w:t>Among the 12 highlighted binary models, the median ridge-minus-PLS balanced-accuracy difference was 0.007 (IQR -0.004 to 0.014); ridge had a paired-repeat interval above zero for 2 models, PLS for 1, and 9 differences were uncertain. For the 12 continuous models, the median ridge-minus-PLS Q² difference was 0.014 (IQR 0.007 to 0.017); ridge was favoured for 7, PLS for 2, and 3 were uncertain. Thus PLS was competitive but not uniformly superior to a simpler exportable linear model. Because the benchmark was restricted to PLS-highlighted results, the prespecified PLS atlas was retained and the comparison is reported as selection-conditioned sensitivity evidence rather than a basis for post-screen method switching.</w:t>
      </w:r>
    </w:p>
    <w:p>
      <w:pPr>
        <w:pStyle w:val="Heading2"/>
      </w:pPr>
      <w:r>
        <w:t>Site and multiple-slide sensitivity</w:t>
      </w:r>
    </w:p>
    <w:p>
      <w:r>
        <w:t>Site-grouped validation was feasible for 323 screen-positive models. Although the median grouped-minus-random performance change was only -0.026, 83/323 models (25.7%) fell below the original effect threshold: 58/219 continuous models and 25/104 binary models. Prominent attenuations were READ–APC (balanced accuracy 0.862 to 0.495); COAD–APC (balanced accuracy 0.793 to 0.543); PCPG–Cell Cycle (balanced accuracy 0.686 to 0.476); LIHC–CTNNB1 (balanced accuracy 0.668 to 0.565); OV–TCR Shannon (Q² 0.206 to -0.551); COAD–SNV Neoantigens (Q² 0.239 to -0.013). The site-grouped folds contain fewer and less evenly distributed training patients, so the decline cannot be attributed solely to site artefact; nevertheless, the near-chance colorectal APC results are not adequately summarised by the median and are treated as site-sensitive. The first-slide-minus-mean-pool median change across screen-positive models was -0.001.</w:t>
      </w:r>
    </w:p>
    <w:p>
      <w:pPr>
        <w:jc w:val="center"/>
      </w:pPr>
      <w:r>
        <w:drawing>
          <wp:inline xmlns:a="http://schemas.openxmlformats.org/drawingml/2006/main" xmlns:pic="http://schemas.openxmlformats.org/drawingml/2006/picture">
            <wp:extent cx="5806440" cy="3182376"/>
            <wp:docPr id="6" name="Picture 6"/>
            <wp:cNvGraphicFramePr>
              <a:graphicFrameLocks noChangeAspect="1"/>
            </wp:cNvGraphicFramePr>
            <a:graphic>
              <a:graphicData uri="http://schemas.openxmlformats.org/drawingml/2006/picture">
                <pic:pic>
                  <pic:nvPicPr>
                    <pic:cNvPr id="0" name="Figure6_site_grouped_sensitivity.png"/>
                    <pic:cNvPicPr/>
                  </pic:nvPicPr>
                  <pic:blipFill>
                    <a:blip r:embed="rId16"/>
                    <a:stretch>
                      <a:fillRect/>
                    </a:stretch>
                  </pic:blipFill>
                  <pic:spPr>
                    <a:xfrm>
                      <a:off x="0" y="0"/>
                      <a:ext cx="5806440" cy="3182376"/>
                    </a:xfrm>
                    <a:prstGeom prst="rect"/>
                  </pic:spPr>
                </pic:pic>
              </a:graphicData>
            </a:graphic>
          </wp:inline>
        </w:drawing>
      </w:r>
    </w:p>
    <w:p>
      <w:pPr>
        <w:pStyle w:val="Caption"/>
        <w:jc w:val="center"/>
      </w:pPr>
      <w:r>
        <w:t>Figure 6. Random-fold versus tissue-source-site-grouped internal validation. Values below the diagonal indicate attenuation when submitting tissue-source sites are separated.</w:t>
      </w:r>
    </w:p>
    <w:p>
      <w:pPr>
        <w:pStyle w:val="Heading2"/>
      </w:pPr>
      <w:r>
        <w:t>Reusable multi-endpoint inference and COAD illustration</w:t>
      </w:r>
    </w:p>
    <w:p>
      <w:r>
        <w:t>The TITANPred R package exposes 323 fitted models (219 continuous and 104 binary) across 27 cancers [32]. Users supply a cancer vector and correctly named 768-dimensional TITAN features; the interface applies every bundled model available for that cancer. Repeated patient identifiers are mean-pooled before inference. Continuous outputs retain source endpoint units and are positioned against repeated out-of-fold reference distributions; binary outputs comprise the fitted PLS-LDA class and uncalibrated LDA score. The binary display labels its TCGA out-of-fold score rank explicitly as a rank rather than a probability and places training positive/negative counts, prevalence, repeated-CV performance and any limited-class-size warning beside the call. A single-sample report renders all available continuous endpoints as a radar, with the exact reference percentile and original prediction printed at every corner, and displays binary calls with provenance and out-of-distribution diagnostics. The report ends with definitions of every displayed endpoint and citations for the data source used to construct each TCGA model target.</w:t>
      </w:r>
    </w:p>
    <w:p>
      <w:r>
        <w:t>COAD was chosen as a deployment illustration because colorectal cancer, of which colon adenocarcinoma is a major component, accounted for 1,926,425 new cases worldwide in 2022 [31], and COAD contributed 20 supported models (10 continuous and 10 binary). APC, TP53, KRAS and BRAF prediction from colorectal histology had already been evaluated in pooled colorectal and/or exact-COAD studies; these models are therefore replications or extensions under a different representation and validation framework, not bibliographically novel mutation targets. For visualization, we first restricted candidates to cases with a non-empty slide report that described a sigmoid-colon, moderately differentiated, pT3 adenocarcinoma with clear margins, and then required that no case had more than two of ten continuous predictions outside the first to 99th percentile. Among pairs sharing recorded sex and site, TCGA-AA-A01F and TCGA-AA-3972 had the largest Euclidean separation across the complete continuous prediction-percentile profile. This produced clinically comparable examples with predominantly intermediate rather than saturated values. Example A had higher MSI, mutation-rate and TIL predictions and lower aneuploidy predictions, whereas example B showed the converse pattern (Figure 7). The selection is an internal deployment demonstration, not a validation analysis or an estimate of clinical prevalence.</w:t>
      </w:r>
    </w:p>
    <w:p>
      <w:r>
        <w:t>The accompanying pathology text is paraphrased from TCGA-Slide-Reports.csv rather than reproduced verbatim. For TCGA-AA-A01F, the report describes an ulcerated grade-2 sigmoid adenocarcinoma extending through the muscular wall into pericolic fat (pT3), with uninvolved resection ends, lymphatic invasion and two involved nodes among 30 examined (pN1). For TCGA-AA-3972, it describes an ulcerated grade-2 sigmoid colorectal adenocarcinoma extending through the bowel wall into mesocolic fat (pT3), with uninvolved proximal and distal margins; a nodal category was not stated in the supplied slide summary.</w:t>
      </w:r>
    </w:p>
    <w:p>
      <w:r>
        <w:t>Public NCI Genomic Data Commons case records provide treatment context [33]. TCGA-AA-A01F received fluorouracil, leucovorin and oxaliplatin, for which the recorded treatment outcome was complete response. TCGA-AA-3972 received capecitabine plus oxaliplatin and, later, fluorouracil, leucovorin, oxaliplatin and bevacizumab; progressive disease was recorded for both treatment records, with recurrence documented later in follow-up. These fields are descriptive public metadata and were not predictors, training targets or validation outcomes. The examples therefore do not evaluate response prediction or treatment effect.</w:t>
      </w:r>
    </w:p>
    <w:p>
      <w:pPr>
        <w:jc w:val="center"/>
      </w:pPr>
      <w:r>
        <w:drawing>
          <wp:inline xmlns:a="http://schemas.openxmlformats.org/drawingml/2006/main" xmlns:pic="http://schemas.openxmlformats.org/drawingml/2006/picture">
            <wp:extent cx="6126480" cy="5198225"/>
            <wp:docPr id="7" name="Picture 7"/>
            <wp:cNvGraphicFramePr>
              <a:graphicFrameLocks noChangeAspect="1"/>
            </wp:cNvGraphicFramePr>
            <a:graphic>
              <a:graphicData uri="http://schemas.openxmlformats.org/drawingml/2006/picture">
                <pic:pic>
                  <pic:nvPicPr>
                    <pic:cNvPr id="0" name="Figure7_COAD_TITANPred_examples.png"/>
                    <pic:cNvPicPr/>
                  </pic:nvPicPr>
                  <pic:blipFill>
                    <a:blip r:embed="rId17"/>
                    <a:stretch>
                      <a:fillRect/>
                    </a:stretch>
                  </pic:blipFill>
                  <pic:spPr>
                    <a:xfrm>
                      <a:off x="0" y="0"/>
                      <a:ext cx="6126480" cy="5198225"/>
                    </a:xfrm>
                    <a:prstGeom prst="rect"/>
                  </pic:spPr>
                </pic:pic>
              </a:graphicData>
            </a:graphic>
          </wp:inline>
        </w:drawing>
      </w:r>
    </w:p>
    <w:p>
      <w:pPr>
        <w:pStyle w:val="Caption"/>
        <w:jc w:val="center"/>
      </w:pPr>
      <w:r>
        <w:t>Figure 7. TITANPred deployment illustration in two clinically comparable COAD cases. Panels A and B show all ten continuous predictions for TCGA-AA-A01F and TCGA-AA-3972, respectively. Silent mutation rate and SNV neoantigens flank nonsilent mutation rate in the semantic axis order. Every radar corner reports the exact percentile relative to corrected repeated out-of-fold TCGA predictions and the original model prediction in the analysed endpoint units; the percentiles are not clinical reference ranges. Panel C shows binary PLS-LDA calls and explicitly labelled TCGA out-of-fold LDA-score ranks; filled points denote positive calls, and ranks are not probabilities. Training n and class counts accompany each binary endpoint. The cases share sex, sigmoid site, grade, pT3 category and clear margins and were selected after limiting saturated continuous profiles. They are full-cohort deployment examples and do not provide external validation.</w:t>
      </w:r>
    </w:p>
    <w:p>
      <w:pPr>
        <w:pStyle w:val="Heading1"/>
      </w:pPr>
      <w:r>
        <w:t>Discussion</w:t>
      </w:r>
    </w:p>
    <w:p>
      <w:r>
        <w:t>This study answers a target-by-target, cancer-specific question rather than asking whether molecular subtype and mutation status are associated. Fixed pretrained TITAN representations contain useful signal for selected immune programmes, mutations and higher-level genomic phenotypes, but most eligible pairs do not satisfy both multiplicity and effect thresholds. That heterogeneity—and transparent negative reporting—is the primary result. Under the stricter across-cancer family correction, 219 continuous and 39 mutation pairs passed; the remaining within-cancer candidates should not be interpreted as pan-cancer biomarkers. Conversely, global non-passage cannot be interpreted as evidence of no signal because the 0.001 empirical-p resolution restricts attainable q-values in large families.</w:t>
      </w:r>
    </w:p>
    <w:p>
      <w:r>
        <w:t>The relevant literature spans substantially different validation settings and metrics. For MSI, Kather et al. reported external AUROCs of 0.84 (95% CI 0.72–0.92) in DACHS colorectal cancer and 0.69 (0.52–0.82) in an external gastric cohort, whereas Echle et al. reported an external dMMR AUROC of 0.96 in a 771-case cohort [2,3]. For fusion prediction, Dadhania et al. reported ERG AUROCs of 0.82–0.85, and Mayer et al. reported 100% sensitivity with 100% and 98.6% specificity for ALK and ROS1, respectively, in a small external set [9,10]. Saldanha et al. externally evaluated mutation models in CPTAC, Bergstrom et al. reported external breast HRD AUROC 0.76 (0.71–0.82), and HistoTME reported mean external cell-composition correlation 0.50 and immunotherapy-response AUROC 0.75 (0.61–0.88) [11,14,15]. These externally tested results set a stronger validation standard than the internal TCGA estimates presented here; metric, endpoint and cohort differences preclude claims of direct superiority.</w:t>
      </w:r>
    </w:p>
    <w:p>
      <w:r>
        <w:t>The expanded primary-study audit substantially changes the novelty interpretation. 38/41 screen-positive cancer–gene pairs had already received statistical support in reviewed histology-prediction studies, including pooled colorectal evidence mapped to both COAD and READ where appropriate. Examples include LGG–CIC (prior mean AUROC 0.836, current balanced accuracy 0.779), LGG–ATRX (prior mean AUROC 0.816), THCA–NRAS (0.809), LIHC–BAP1 (0.825), PAAD–TP53 (0.672) and KIRC–VHL (0.631) [13]. Prior studies generally reported AUROC, whereas the present primary metric is balanced accuracy; these values are contextual and are not estimates of improvement or inferiority.</w:t>
      </w:r>
    </w:p>
    <w:p>
      <w:r>
        <w:t>Two current screen-positive pairs had been evaluated but were not statistically supported in the reviewed 2024 study: BLCA–PIK3CA (prior mean AUROC 0.588, corrected p=0.058; current balanced accuracy 0.601) and SKCM–BRAF (prior mean AUROC 0.579, corrected p=0.286; current balanced accuracy 0.626). Only THYM–GTF2I was not identified in the reviewed predictive-model literature; a strong direct GTF2I–thymoma morphology association is already established, so this result is presented as a prediction candidate requiring independent validation rather than a claim of biological novelty. The OV–TP53 entry is supported by a 2025 preprint reporting AUROC 0.82±0.02 and is labelled as preliminary evidence rather than peer-reviewed external validation [34]. The GTF2I morphology association itself was reported by Wells et al. [35]. Supplementary Table S10a and the machine-readable audit give the evidence scope, prior metric, source and note for every screen-positive pair.</w:t>
      </w:r>
    </w:p>
    <w:p>
      <w:r>
        <w:t>External results also caution against equating internal discrimination with transportability. For PAAD–TP53, the current TCGA balanced accuracy was 0.619 and Arslan et al. reported mean internal AUROC 0.672, whereas Saldanha et al. reported internal AUROC 0.554 and external CPTAC AUROC 0.443±0.064 [11,13]. Differences can arise from cohort composition, slide preparation, mutation definition, model class and validation design. The present result therefore supports further locked external testing, not clinical deployment.</w:t>
      </w:r>
    </w:p>
    <w:p>
      <w:r>
        <w:t>The immune measurements, oncogenic pathways, MSI, aneuploidy and fusion endpoints extend the analysis beyond the exact cancer–gene mutation pairs used for the literature crosswalk. They are newly screened in this TITAN–PLS atlas, but the manuscript does not claim that histological prediction of those broad endpoint classes is unprecedented. Their novelty is the unified patient-level, cancer-specific screen and directly reusable linear modelling framework.</w:t>
      </w:r>
    </w:p>
    <w:p>
      <w:r>
        <w:t>For continuous outcomes, prior work predicted RNA expression [6], tumour composition [4], continuous HRD and microenvironment measures [12], and externally evaluated tumour-microenvironment composition in non-small cell lung cancer [15]. The present study instead screens the prespecified Thorsson immune panel, genomic-context scores, MSI scores, fusion burden and aneuploidy burdens across eligible TCGA cancers using the same patient-level validation design. Only 219 continuous pairs passed the stricter across-cancer correction; the others should be treated as endpoint- and cancer-specific nominations, not as replications of the external HistoTME results or as evidence of general immune profiling.</w:t>
      </w:r>
    </w:p>
    <w:p>
      <w:r>
        <w:t>The contribution of TITAN plus PLS is a uniform, auditable screen over many prespecified outcomes using one fixed pretrained representation, with one-at-a-time PLS–LDA retained for the prespecified individual binary endpoints and PLS2 examined secondarily for correlated inflammatory panels.</w:t>
      </w:r>
    </w:p>
    <w:p>
      <w:r>
        <w:t>The ridge benchmark prevents interpreting that design choice as proof of PLS superiority. Median ridge-minus-PLS differences were small (0.007 balanced accuracy for binary and 0.014 Q² for continuous models), although paired intervals favoured ridge for two binary and seven continuous highlighted endpoints and favoured PLS for one binary and two continuous endpoints. The remaining 12 comparisons were uncertain. Both approaches yield compact exportable parameters, so portability is not unique to PLS. PLS remains the prespecified atlas method because the benchmark was performed only on PLS-highlighted models and switching methods after that selection would add another optimistic selection layer. Future external validation can compare locked PLS and ridge candidates prospectively.</w:t>
      </w:r>
    </w:p>
    <w:p>
      <w:r>
        <w:t>Site grouping revealed heterogeneity that the median attenuation concealed: 83/323 screen-positive models (25.7%) fell below their original effect threshold. READ–APC and COAD–APC declined from balanced accuracies 0.862 and 0.793 to 0.495 and 0.543, respectively. Smaller and less balanced training folds contribute to grouped-validation loss, but performance close to chance requires these models to be labelled site-sensitive rather than robust biological signals. This reinforces the need for multi-institutional external validation and for publishing target-level, not only median, sensitivity results.</w:t>
      </w:r>
    </w:p>
    <w:p>
      <w:r>
        <w:t>A further practical feature is data-minimising model portability. Preprocessing values, latent weights and coefficients are sufficient for continuous prediction, with compact LDA parameters added for binary classification. TITANPred publicly distributes these fitted objects and applies every cancer-matched model to correctly ordered TITAN features without distributing the original patient embeddings or outcomes [32]. This reduces the patient-level data that must be exchanged, although it does not itself confer privacy, satisfy local governance requirements or establish transportability. The matched COAD examples show how the package summarizes differing multi-endpoint profiles among cases with shared clinicopathological attributes. Because both examples were chosen within TCGA and were predicted by full-cohort fits, neither their molecular contrast nor their recorded treatment outcomes constitute new accuracy or response-prediction evidence.</w:t>
      </w:r>
    </w:p>
    <w:p>
      <w:r>
        <w:t>Strengths include primary-tumour matching across every data source, deterministic mean pooling of multiple slides, nested patient-level validation, FDR control within cancer and endpoint family, exact negative-result reporting, site-grouped sensitivity, saved research models and executable inference code. The supplied Bonneville spreadsheets contained only an ACC/CESC/MESO subset; cBioPortal PanCancer Atlas MANTIS fields were therefore used for full coverage and agreed exactly for all 387 overlapping cases.</w:t>
      </w:r>
    </w:p>
    <w:p>
      <w:r>
        <w:t>The principal limitation is absence of independent external validation. TCGA resampling, even with site separation, cannot establish transportability to another institution, scanner, stain distribution or patient population. The study is retrospective and exploratory; thresholds are prioritisation rules, not clinical operating points. Although TCGA was excluded from TITAN's Mass-340K pretraining corpus, it was used in the original paper's downstream evaluation; the present cohort is therefore neither a pretraining cohort nor an independent validation cohort. Predictability does not establish biological causality, and image-derived predictions cannot justify omitting a molecular assay. External feature extraction and prospective evaluation are required before clinical use.</w:t>
      </w:r>
    </w:p>
    <w:p>
      <w:r>
        <w:t>The repeated nested-CV estimates and patient-cluster bootstrap intervals are also conditional on selecting endpoints in this same TCGA atlas. They quantify partition and sampling variability for highlighted candidates but do not correct winner's-curse optimism from highlighting the strongest screen results. Consequently, the intervals should not be read as external-performance intervals; locked-model evaluation in an untouched cohort is required for unbiased transportability assessment.</w:t>
      </w:r>
    </w:p>
    <w:p>
      <w:r>
        <w:t>Arithmetic mean pooling gives each eligible slide equal weight and prevents multiple-slide leakage, but it does not model variable tissue area or within-patient morphological heterogeneity. The first-slide sensitivity measures dependence on one deterministic alternative and should not be interpreted as a comparison with learned or tissue-area-weighted aggregation.</w:t>
      </w:r>
    </w:p>
    <w:p>
      <w:r>
        <w:t>Demographic subgroup performance and algorithmic fairness were not evaluated. The TCGA Clinical Data Resource provides descriptive age, recorded gender, race and stage fields, but coverage and subgroup sizes vary across cancers and would fragment further under endpoint-specific molecular missingness. Tissue-source-site grouping probes one form of institutional heterogeneity but cannot establish fairness across ancestry, sex, age or access-to-care groups. Any external evaluation should prespecify representative sampling and subgroup performance, calibration and failure analysis.</w:t>
      </w:r>
    </w:p>
    <w:p>
      <w:pPr>
        <w:pStyle w:val="Heading1"/>
      </w:pPr>
      <w:r>
        <w:t>Conclusions</w:t>
      </w:r>
    </w:p>
    <w:p>
      <w:r>
        <w:t>Mean-pooled TITAN representations enable a cancer-specific TCGA discovery atlas of selected immune, mutation, pathway, MSI, aneuploidy and fusion phenotypes. The public TITANPred package applies all cancer-matched fitted PLS and PLS–LDA models without distributing patient-level training data, providing a practical route to independent external research validation. The resource prioritises hypotheses and exposes screen-negative targets, but remains internally validated and non-clinical.</w:t>
      </w:r>
    </w:p>
    <w:p>
      <w:pPr>
        <w:pStyle w:val="Heading1"/>
      </w:pPr>
      <w:r>
        <w:t>Abbreviations</w:t>
      </w:r>
    </w:p>
    <w:p>
      <w:r>
        <w:t>AUROC, area under the receiver operating characteristic curve; BA, balanced accuracy; CV, cross-validation; FDR, false discovery rate; H&amp;E, haematoxylin and eosin; LDA, linear discriminant analysis; MC3, Multi-Center Mutation Calling in Multiple Cancers; MSI, microsatellite instability; OOF, out-of-fold; PLS, partial least squares; PLS1, single-response PLS; PLS2, multi-response PLS; Q², cross-validated coefficient of determination; RMSE, root-mean-square error; TCGA, The Cancer Genome Atlas.</w:t>
      </w:r>
    </w:p>
    <w:p>
      <w:pPr>
        <w:pStyle w:val="Heading1"/>
      </w:pPr>
      <w:r>
        <w:t>Declarations</w:t>
      </w:r>
    </w:p>
    <w:p>
      <w:pPr>
        <w:pStyle w:val="Heading2"/>
      </w:pPr>
      <w:r>
        <w:t>Ethics approval and consent to participate</w:t>
      </w:r>
    </w:p>
    <w:p>
      <w:r>
        <w:t>This secondary analysis used publicly available, de-identified TCGA data. No participants were recruited and no new tissue was collected.</w:t>
      </w:r>
    </w:p>
    <w:p>
      <w:pPr>
        <w:pStyle w:val="Heading2"/>
      </w:pPr>
      <w:r>
        <w:t>Consent for publication</w:t>
      </w:r>
    </w:p>
    <w:p>
      <w:r>
        <w:t>Not applicable.</w:t>
      </w:r>
    </w:p>
    <w:p>
      <w:pPr>
        <w:pStyle w:val="Heading2"/>
      </w:pPr>
      <w:r>
        <w:t>Study registration and protocol</w:t>
      </w:r>
    </w:p>
    <w:p>
      <w:r>
        <w:t>This retrospective secondary analysis was not registered. The locked executable analysis plan is available in the companion repository [30].</w:t>
      </w:r>
    </w:p>
    <w:p>
      <w:pPr>
        <w:pStyle w:val="Heading2"/>
      </w:pPr>
      <w:r>
        <w:t>Patient and public involvement</w:t>
      </w:r>
    </w:p>
    <w:p>
      <w:r>
        <w:t>Patients and members of the public were not involved in the design, conduct, interpretation or reporting of this secondary analysis.</w:t>
      </w:r>
    </w:p>
    <w:p>
      <w:pPr>
        <w:pStyle w:val="Heading2"/>
      </w:pPr>
      <w:r>
        <w:t>Availability of data and materials</w:t>
      </w:r>
    </w:p>
    <w:p>
      <w:r>
        <w:t>The analysis used the gated public TITAN TCGA feature artifact TCGA_TITAN_features.pkl, downloaded from https://huggingface.co/MahmoodLab/TITAN/blob/main/TCGA_TITAN_features.pkl and converted to the documented 768-feature CSV schema with tools/convert_tcga_titan_pickle.py in the companion repository [30]. The analysed CSV contained 11,658 slide rows (SHA-256 d3d91fb0f83a6de440eda5ff437a63e3ca13f50095e6841fb8efcc40e58763f0). TCGA molecular data and the cited public supplementary records remain available from their original repositories. Exact source locations, access conditions and checksums are recorded in the companion repository. Controlled-access whole-slide images are not redistributed. All 323 fitted research models, their registry, inference code and HTML/PDF report template are distributed in the separate TITANPred repository [32].</w:t>
      </w:r>
    </w:p>
    <w:p>
      <w:pPr>
        <w:pStyle w:val="Heading2"/>
      </w:pPr>
      <w:r>
        <w:t>Competing interests</w:t>
      </w:r>
    </w:p>
    <w:p>
      <w:r>
        <w:t>[Author confirmation required before submission.]</w:t>
      </w:r>
    </w:p>
    <w:p>
      <w:pPr>
        <w:pStyle w:val="Heading2"/>
      </w:pPr>
      <w:r>
        <w:t>Funding</w:t>
      </w:r>
    </w:p>
    <w:p>
      <w:r>
        <w:t>[Author confirmation required before submission.]</w:t>
      </w:r>
    </w:p>
    <w:p>
      <w:pPr>
        <w:pStyle w:val="Heading2"/>
      </w:pPr>
      <w:r>
        <w:t>Authors’ contributions</w:t>
      </w:r>
    </w:p>
    <w:p>
      <w:r>
        <w:t>[Author initials and contribution statement required before submission.]</w:t>
      </w:r>
    </w:p>
    <w:p>
      <w:pPr>
        <w:pStyle w:val="Heading2"/>
      </w:pPr>
      <w:r>
        <w:t>Acknowledgements</w:t>
      </w:r>
    </w:p>
    <w:p>
      <w:r>
        <w:t>OpenAI Codex assisted with code refactoring and language editing. Human authors remain responsible for verification, interpretation and the submitted text.</w:t>
      </w:r>
    </w:p>
    <w:p>
      <w:pPr>
        <w:pStyle w:val="Heading1"/>
      </w:pPr>
      <w:r>
        <w:t>Additional files</w:t>
      </w:r>
    </w:p>
    <w:p>
      <w:r>
        <w:t>Additional file 1 (.docx): Supplementary material. Contains Supplementary Methods, Tables S1–S12, Figures S1–S2 and an inventory of the companion machine-readable result files.</w:t>
      </w:r>
    </w:p>
    <w:p>
      <w:r>
        <w:t>Additional file 2 (.pdf): COAD example A (TCGA-AA-A01F) TITANPred single-sample report. Illustrative full-cohort research-model predictions for the COAD example with high MSI, mutation-rate and immune-feature predictions and low aneuploidy prediction.</w:t>
      </w:r>
    </w:p>
    <w:p>
      <w:r>
        <w:t>Additional file 3 (.pdf): COAD example B (TCGA-AA-3972) TITANPred single-sample report. Illustrative full-cohort research-model predictions for the contrasting COAD example with high aneuploidy prediction and lower MSI and immune-feature predictions.</w:t>
      </w:r>
    </w:p>
    <w:p>
      <w:pPr>
        <w:pStyle w:val="Heading1"/>
      </w:pPr>
      <w:r>
        <w:t>References</w:t>
      </w:r>
    </w:p>
    <w:p>
      <w:r>
        <w:t>1. Coudray N, et al. Classification and mutation prediction from non-small cell lung cancer histopathology images using deep learning. Nat Med. 2018;24:1559–1567. doi:10.1038/s41591-018-0177-5.</w:t>
      </w:r>
    </w:p>
    <w:p>
      <w:r>
        <w:t>2. Kather JN, et al. Deep learning can predict microsatellite instability directly from histology in gastrointestinal cancer. Nat Med. 2019;25:1054–1056. doi:10.1038/s41591-019-0462-y.</w:t>
      </w:r>
    </w:p>
    <w:p>
      <w:r>
        <w:t>3. Echle A, et al. Clinical-grade detection of microsatellite instability in colorectal tumors by deep learning. Gastroenterology. 2020;159:1406–1416.e11. doi:10.1053/j.gastro.2020.06.021.</w:t>
      </w:r>
    </w:p>
    <w:p>
      <w:r>
        <w:t>4. Fu Y, et al. Pan-cancer computational histopathology reveals mutations, tumor composition and prognosis. Nat Cancer. 2020;1:800–810. doi:10.1038/s43018-020-0085-8.</w:t>
      </w:r>
    </w:p>
    <w:p>
      <w:r>
        <w:t>5. Kather JN, et al. Pan-cancer image-based detection of clinically actionable genetic alterations. Nat Cancer. 2020;1:789–799. doi:10.1038/s43018-020-0087-6.</w:t>
      </w:r>
    </w:p>
    <w:p>
      <w:r>
        <w:t>6. Schmauch B, et al. A deep learning model to predict RNA-Seq expression of tumours from whole slide images. Nat Commun. 2020;11:3877. doi:10.1038/s41467-020-17678-4.</w:t>
      </w:r>
    </w:p>
    <w:p>
      <w:r>
        <w:t>7. Howard FM, et al. The impact of site-specific digital histology signatures on deep learning model accuracy and bias. Nat Commun. 2021;12:4423. doi:10.1038/s41467-021-24698-1.</w:t>
      </w:r>
    </w:p>
    <w:p>
      <w:r>
        <w:t>8. Loeffler CML, et al. Predicting mutational status of driver and suppressor genes directly from histopathology with deep learning. Front Genet. 2022;12:806386. doi:10.3389/fgene.2021.806386.</w:t>
      </w:r>
    </w:p>
    <w:p>
      <w:r>
        <w:t>9. Dadhania V, et al. Leveraging artificial intelligence to predict ERG gene fusion status in prostate cancer. BMC Cancer. 2022;22:494. doi:10.1186/s12885-022-09559-4.</w:t>
      </w:r>
    </w:p>
    <w:p>
      <w:r>
        <w:t>10. Mayer C, et al. Direct identification of ALK and ROS1 fusions in non-small cell lung cancer from hematoxylin and eosin-stained slides using deep learning algorithms. Mod Pathol. 2022;35:1882–1887. doi:10.1038/s41379-022-01141-4.</w:t>
      </w:r>
    </w:p>
    <w:p>
      <w:r>
        <w:t>11. Saldanha OL, et al. Self-supervised attention-based deep learning for pan-cancer mutation prediction from histopathology. npj Precis Oncol. 2023;7:35. doi:10.1038/s41698-023-00365-0.</w:t>
      </w:r>
    </w:p>
    <w:p>
      <w:r>
        <w:t>12. El Nahhas OSM, et al. Regression-based deep-learning predicts molecular biomarkers from pathology slides. Nat Commun. 2024;15:1253. doi:10.1038/s41467-024-45589-1.</w:t>
      </w:r>
    </w:p>
    <w:p>
      <w:r>
        <w:t>13. Arslan S, et al. A systematic pan-cancer study on deep learning-based prediction of multi-omic biomarkers from routine pathology images. Commun Med. 2024;4:48. doi:10.1038/s43856-024-00471-5.</w:t>
      </w:r>
    </w:p>
    <w:p>
      <w:r>
        <w:t>14. Bergstrom EN, et al. Deep learning artificial intelligence predicts homologous recombination deficiency and platinum response from histologic slides. J Clin Oncol. 2024;42:3550–3560. doi:10.1200/JCO.23.02641.</w:t>
      </w:r>
    </w:p>
    <w:p>
      <w:r>
        <w:t>15. Patkar S, et al. Predicting the tumor microenvironment composition and immunotherapy response in non-small cell lung cancer from digital histopathology images. npj Precis Oncol. 2024;8:280. doi:10.1038/s41698-024-00765-w.</w:t>
      </w:r>
    </w:p>
    <w:p>
      <w:r>
        <w:t>16. Ding T, et al. A multimodal whole-slide foundation model for pathology. Nat Med. 2025;31:3749–3761. doi:10.1038/s41591-025-03982-3.</w:t>
      </w:r>
    </w:p>
    <w:p>
      <w:r>
        <w:t>17. Wold S, Sjöström M, Eriksson L. PLS-regression: a basic tool of chemometrics. Chemometr Intell Lab Syst. 2001;58:109–130. doi:10.1016/S0169-7439(01)00155-1.</w:t>
      </w:r>
    </w:p>
    <w:p>
      <w:r>
        <w:t>18. Szymańska E, et al. Double-check: validation of diagnostic statistics for PLS-DA models. Metabolomics. 2012;8(Suppl 1):3–16. doi:10.1007/s11306-011-0330-3.</w:t>
      </w:r>
    </w:p>
    <w:p>
      <w:r>
        <w:t>19. Thorsson V, et al. The Immune Landscape of Cancer. Immunity. 2018;48:812–830.e14. doi:10.1016/j.immuni.2018.03.023.</w:t>
      </w:r>
    </w:p>
    <w:p>
      <w:r>
        <w:t>20. Taylor AM, et al. Genomic and functional approaches to understanding cancer aneuploidy. Cancer Cell. 2018;33:676–689.e3. doi:10.1016/j.ccell.2018.03.007.</w:t>
      </w:r>
    </w:p>
    <w:p>
      <w:r>
        <w:t>21. Gao Q, et al. Driver fusions and their implications in the development and treatment of human cancers. Cell Rep. 2018;23:227–238.e3. doi:10.1016/j.celrep.2018.03.050.</w:t>
      </w:r>
    </w:p>
    <w:p>
      <w:r>
        <w:t>22. Bonneville R, et al. Landscape of microsatellite instability across 39 cancer types. JCO Precis Oncol. 2017;2017:PO.17.00073. doi:10.1200/PO.17.00073.</w:t>
      </w:r>
    </w:p>
    <w:p>
      <w:r>
        <w:t>23. Cerami E, et al. The cBio cancer genomics portal: an open platform for exploring multidimensional cancer genomics data. Cancer Discov. 2012;2:401–404. doi:10.1158/2159-8290.CD-12-0095.</w:t>
      </w:r>
    </w:p>
    <w:p>
      <w:r>
        <w:t>24. Ellrott K, et al. Scalable open science approach for mutation calling of tumor exomes. Cell Syst. 2018;6:271–281.e7. doi:10.1016/j.cels.2018.03.002.</w:t>
      </w:r>
    </w:p>
    <w:p>
      <w:r>
        <w:t>25. Bailey MH, et al. Comprehensive characterization of cancer driver genes and mutations. Cell. 2018;173:371–385.e18. doi:10.1016/j.cell.2018.02.060.</w:t>
      </w:r>
    </w:p>
    <w:p>
      <w:r>
        <w:t>26. Sanchez-Vega F, et al. Oncogenic signaling pathways in The Cancer Genome Atlas. Cell. 2018;173:321–337.e10. doi:10.1016/j.cell.2018.03.035.</w:t>
      </w:r>
    </w:p>
    <w:p>
      <w:r>
        <w:t>27. Benjamini Y, Hochberg Y. Controlling the false discovery rate: a practical and powerful approach to multiple testing. J R Stat Soc B. 1995;57:289–300. doi:10.1111/j.2517-6161.1995.tb02031.x.</w:t>
      </w:r>
    </w:p>
    <w:p>
      <w:r>
        <w:t>28. Collins GS, et al. TRIPOD+AI statement: updated guidance for reporting clinical prediction models that use regression or machine learning methods. BMJ. 2024;385:e078378. doi:10.1136/bmj-2023-078378.</w:t>
      </w:r>
    </w:p>
    <w:p>
      <w:r>
        <w:t>29. Liu J, et al. An integrated TCGA pan-cancer clinical data resource to drive high-quality survival outcome analytics. Cell. 2018;173:400–416.e11. doi:10.1016/j.cell.2018.02.052.</w:t>
      </w:r>
    </w:p>
    <w:p>
      <w:r>
        <w:t>30. TITAN prediction atlas repository. GitHub. https://github.com/tkcaccia/titan-prediction. Accessed 15 Aug 2026.</w:t>
      </w:r>
    </w:p>
    <w:p>
      <w:r>
        <w:t>31. International Agency for Research on Cancer. Global Cancer Observatory: GLOBOCAN 2022 world fact sheet. Lyon: IARC; 2024. https://gco.iarc.who.int/media/globocan/factsheets/populations/900-world-fact-sheet.pdf. Accessed 16 Aug 2026.</w:t>
      </w:r>
    </w:p>
    <w:p>
      <w:r>
        <w:t>32. TITANPred R package and fitted-model repository. GitHub. https://github.com/tkcaccia/TITANPred. Accessed 16 Aug 2026.</w:t>
      </w:r>
    </w:p>
    <w:p>
      <w:r>
        <w:t>33. National Cancer Institute. Genomic Data Commons Cases API. https://api.gdc.cancer.gov/cases. Accessed 16 Aug 2026.</w:t>
      </w:r>
    </w:p>
    <w:p>
      <w:r>
        <w:t>34. Fernandes G. Morpho-genomic deep learning for ovarian cancer subtype and gene mutation prediction from histopathology. arXiv. 2025;arXiv:2511.03365. doi:10.48550/arXiv.2511.03365.</w:t>
      </w:r>
    </w:p>
    <w:p>
      <w:r>
        <w:t>35. Wells K, Lamrca A, Papaxoinis G, et al. Unique correlation between GTF2I mutation and spindle cell morphology in thymomas (type A and AB thymomas). J Clin Pathol. 2023;76:463–466. doi:10.1136/jclinpath-2021-207837.</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TCGA TITAN molecular and immune discovery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48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