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patient-level TCGA discovery atlas of molecular and immune predictability from pretrained TITAN whole-slide representations across 32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Audit comment: continuous repeated cross-validation returned negative Q² and near-zero correlation</w:t>
      </w:r>
    </w:p>
    <w:p>
      <w:r>
        <w:t>Confirmed and corrected. fastPLS returns continuous predictions as an n-by-1-by-1 array. The previous repeated-validation helper used Ypred[[1]], which extracted one scalar and silently recycled it across every patient in the held-out fold. The revised helper drops only singleton dimensions, verifies that the prediction length equals the held-out patient count, and then assigns one prediction per patient. A targeted COAD TIL Regional Fraction check agreed with pls.double.cv (corrected Q² 0.430 and Spearman 0.701 versus 0.377 and 0.655 with the independent routine). We invalidated the affected analysis fingerprint and regenerated all repeated continuous predictions, summaries, uncertainty intervals, reference distributions, figures and reports. Across the 219 screen-positive continuous models, corrected mean repeated-CV Q² values are now positive, with median Q² 0.300 and median Spearman correlation 0.553.</w:t>
      </w:r>
    </w:p>
    <w:p>
      <w:pPr>
        <w:pStyle w:val="Heading1"/>
      </w:pPr>
      <w:r>
        <w:t>Audit comment: continuous radar reference positions inherited the broken predictions</w:t>
      </w:r>
    </w:p>
    <w:p>
      <w:r>
        <w:t>Confirmed. The fitted full-cohort predictions were not affected, but the TCGA out-of-fold reference distributions used for radar positions were. TITANPred's prediction_reference.rds was rebuilt from the corrected repeated held-out predictions, the package was reinstalled, and the COAD reports and Figure 7 were regenerated. The original model prediction remains printed at every radar corner.</w:t>
      </w:r>
    </w:p>
    <w:p>
      <w:pPr>
        <w:pStyle w:val="Heading1"/>
      </w:pPr>
      <w:r>
        <w:t>Audit comment: site-grouped validation was underreported</w:t>
      </w:r>
    </w:p>
    <w:p>
      <w:r>
        <w:t>Addressed. We now report both the median change and threshold retention. 83/323 screen-positive models (25.7%) fell below the original effect threshold under hospital-grouped folds: 58/219 continuous and 25/104 binary models. Named examples include READ–APC (balanced accuracy 0.862 to 0.495), COAD–APC (0.793 to 0.543), and COAD–SNV Neoantigens (Q² 0.239 to −0.013). The text acknowledges that smaller and uneven grouped training folds explain part of the decrease but treats near-chance APC results as site-sensitive. Complete target-level results are added as Table S10b and CSV.</w:t>
      </w:r>
    </w:p>
    <w:p>
      <w:pPr>
        <w:pStyle w:val="Heading1"/>
      </w:pPr>
      <w:r>
        <w:t>Audit comment: mutation novelty was overstated</w:t>
      </w:r>
    </w:p>
    <w:p>
      <w:r>
        <w:t>Confirmed. The exact-code crosswalk missed pooled colorectal studies and did not include newer pan-cancer source data. We expanded the audit using Kather et al., Saldanha et al., Arslan et al. and a clearly labelled ovarian preprint. Of 41 screen-positive mutation pairs, 38 were previously supported, 2 had been evaluated without statistical support, and only THYM–GTF2I was not identified in the reviewed predictive-model literature. All 'atlas-nominated' novelty language was removed. The revised Table S10a records evidence class, cancer scope, prior metric, source and note for every pair.</w:t>
      </w:r>
    </w:p>
    <w:p>
      <w:pPr>
        <w:pStyle w:val="Heading1"/>
      </w:pPr>
      <w:r>
        <w:t>Audit comment: PLS lacked a simple exportable baseline</w:t>
      </w:r>
    </w:p>
    <w:p>
      <w:r>
        <w:t>Addressed with a same-fold repeated nested benchmark of the 24 highlighted models against ridge Gaussian or logistic regression. Median ridge-minus-PLS differences were 0.014 Q² for continuous and 0.007 balanced accuracy for binary models. Paired intervals favoured ridge for seven continuous and two binary models, PLS for two continuous and one binary model, and were uncertain for the remaining 12. We therefore state that PLS is competitive but not uniformly superior. Because the benchmark is conditional on PLS-based endpoint highlighting, the prespecified PLS atlas is retained rather than adding post-selection method switching. Ridge was selected as the baseline because its fitted coefficients are portable without retaining training embeddings; the full repeated results and uncertainty are supplied in Table S10c and CSV.</w:t>
      </w:r>
    </w:p>
    <w:p>
      <w:pPr>
        <w:pStyle w:val="Heading1"/>
      </w:pPr>
      <w:r>
        <w:t>Audit comment: the Introduction did not state the gap</w:t>
      </w:r>
    </w:p>
    <w:p>
      <w:r>
        <w:t>Addressed. The Background now states explicitly that earlier work is fragmented across cancers, endpoints, representations and reporting conventions, and defines the gap as a single patient-level reusable discovery atlas using one fixed pretrained representation and one validation framework across many endpoint classes with negative results, class counts, uncertainty and deployable fitted models.</w:t>
      </w:r>
    </w:p>
    <w:p>
      <w:pPr>
        <w:pStyle w:val="Heading1"/>
      </w:pPr>
      <w:r>
        <w:t>Audit comment: binary percentiles could be mistaken for probabilities and small classes were not visible</w:t>
      </w:r>
    </w:p>
    <w:p>
      <w:r>
        <w:t>Addressed by relabelling rather than adding an unevaluated post-hoc calibration layer. Binary displays and tables now use 'TCGA out-of-fold score rank (not probability)', retain the raw uncalibrated LDA score and class call, and show training n, positive and negative counts, prevalence, repeated-CV balanced accuracy and AUROC. A warning is emitted and printed when either development class contains fewer than 50 patients. The 20-per-class modelling eligibility rule is unchanged. Proper probability calibration remains future work requiring independently evaluated or fully nested calibration.</w:t>
      </w:r>
    </w:p>
    <w:p>
      <w:pPr>
        <w:pStyle w:val="Heading1"/>
      </w:pPr>
      <w:r>
        <w:t>1. Across-cancer multiplicity and permutation resolution</w:t>
      </w:r>
    </w:p>
    <w:p>
      <w:r>
        <w:t>Addressed. Every effect-eligible endpoint is refined toward 999 patient-label permutations with a conservative stopping boundary of 49 exceedances, minimum completed-test resolution 0.001, and exact attempted counts retained. Both the prespecified within-cancer family q-value and the stricter across-cancer family q-value are reported. The abstract, figures and Discussion state that 219 continuous and 39 cancer–mutation pairs passed the stricter correction; all remaining within-cancer results are framed as cancer-specific discovery candidates. We now also state explicitly that the 0.001 resolution limits attainable q-values in large global families, so non-passage is not evidence of absence.</w:t>
      </w:r>
    </w:p>
    <w:p>
      <w:pPr>
        <w:pStyle w:val="Heading1"/>
      </w:pPr>
      <w:r>
        <w:t>2. External validation is the principal unresolved limitation</w:t>
      </w:r>
    </w:p>
    <w:p>
      <w:r>
        <w:t>We agree. No independent cohort containing compatible precomputed TITAN embeddings together with the mutation, immune, pathway, MSI, aneuploidy and fusion labels was identified. We therefore do not describe the models as externally validated. The title, abstract, intended-use statement, Discussion and Conclusions explicitly frame the work as an internally validated hypothesis-generation resource. We added site-grouped validation, saved research models and executable inference code to facilitate future external testing, but state that these do not substitute for external validation.</w:t>
      </w:r>
    </w:p>
    <w:p>
      <w:pPr>
        <w:pStyle w:val="Heading1"/>
      </w:pPr>
      <w:r>
        <w:t>3. Site robustness is incomplete for the inflammatory atlas</w:t>
      </w:r>
    </w:p>
    <w:p>
      <w:r>
        <w:t>Addressed. Tissue-source-site-grouped validation is now attempted for every within-cancer screen-positive continuous and binary endpoint, not only mutations. It was feasible for 323 models. Figure 6 and the complete machine-readable tables report target-level attenuation; the manuscript does not claim that repeated random folds exclude site confounding.</w:t>
      </w:r>
    </w:p>
    <w:p>
      <w:pPr>
        <w:pStyle w:val="Heading1"/>
      </w:pPr>
      <w:r>
        <w:t>4. Reproducibility materials must be deposited before submission</w:t>
      </w:r>
    </w:p>
    <w:p>
      <w:r>
        <w:t>Addressed in two public repositories: the analysis repository (https://github.com/tkcaccia/titan-prediction) contains the exact analysis plan, source URLs/checksums, software commit, eligibility tables, code for every analysis and figure, out-of-fold prediction outputs and literature crosswalk; the TITANPred package repository (https://github.com/tkcaccia/TITANPred) distributes all 323 fitted models, their SHA-256 registry, inference interface, repeated out-of-fold reference distributions and HTML/PDF report template. An archived versioned release with a persistent DOI remains to be created before submission.</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Aamilah Ismail and Martin Ocharo are listed as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Silvano Piazza and Dinesh Gupta are listed immediately before Stefano Cacciatore with their ICGEB Trieste and ICGEB New Delhi affiliations, respectively. The remaining supplied author names, affiliations, available email addresses and corresponding-author details have been entered. Email addresses for Martin Ocharo, Brendon Price, Ekene Emmanuel Nweke, Silvano Piazza and Dinesh Gupta were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and speed claims were removed. A focused same-fold ridge benchmark was added because it directly tests whether PLS materially outperforms a simpler portable linear model; it is reported with effect magnitudes, uncertainty and selection-conditioning caveats.</w:t>
      </w:r>
    </w:p>
    <w:p>
      <w:pPr>
        <w:pStyle w:val="Heading1"/>
      </w:pPr>
      <w:r>
        <w:t>Additional change: distinguish replication from predictors not identified in the reviewed literature</w:t>
      </w:r>
    </w:p>
    <w:p>
      <w:r>
        <w:t>The Discussion uses an expanded primary-study audit, maps pooled colorectal evidence to COAD and READ, gives prior AUROC and current balanced accuracy side by side without treating the metrics as directly comparable, and distinguishes previously supported, previously evaluated-but-not-supported, and not-identified categories. Only THYM–GTF2I was not identified in the reviewed predictive-model literature, and even that result is not claimed as biological or definitive bibliographic novelty. The broader landscape audit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discovery atlas,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patient-cluster bootstrap intervals. Deployment metadata include feature checksums and ranges, class coding and priors, decision rule, calibration status, external-validation status and intended use. Figure 4 compares held-out predictions directly with observed data. The two illustrative COAD single-sample reports are supplied as separate PDF attachments (Additional files 2 and 3).</w:t>
      </w:r>
    </w:p>
    <w:p>
      <w:pPr>
        <w:pStyle w:val="Heading1"/>
      </w:pPr>
      <w:r>
        <w:t>Additional change: rSVD-only PLS decomposition</w:t>
      </w:r>
    </w:p>
    <w:p>
      <w:r>
        <w:t>All primary, permutation, repeated, site-grouped, slide-pooling, PLS1–PLS2 and final-model fits use CPU rSVD with 10 oversampling vectors, two power iterations and fixed seeds. Solver identity and controls are recorded in screening, sensitivity and model-registry metadata and verified against saved-model diagnostics.</w:t>
      </w:r>
    </w:p>
    <w:p>
      <w:pPr>
        <w:pStyle w:val="Heading1"/>
      </w:pPr>
      <w:r>
        <w:t>Additional change: terminology and global multiplicity</w:t>
      </w:r>
    </w:p>
    <w:p>
      <w:r>
        <w:t>Tier labels are replaced in the narrative and display headings by within-cancer higher-effect, moderate-effect and screen-negative categories. The abstract, Results and Discussion report explicitly that 219 continuous and 39 cancer–mutation pairs passed the stricter across-cancer correction.</w:t>
      </w:r>
    </w:p>
    <w:p>
      <w:pPr>
        <w:pStyle w:val="Heading1"/>
      </w:pPr>
      <w:r>
        <w:t>Additional change: TRIPOD+AI and fairness reporting</w:t>
      </w:r>
    </w:p>
    <w:p>
      <w:r>
        <w:t>Supplementary Table S12 maps every TRIPOD+AI item to the manuscript or repository. Participant characteristics from the TCGA Clinical Data Resource are now reported overall and by cancer; the Methods and Discussion state that no resampling or calibrated probability output was used, no formal power calculation was performed, treatment endpoints were not modelled, and demographic subgroup performance was not evaluated. Tissue-source-site sensitivity is not presented as a substitute for representative external subgroup evaluation.</w:t>
      </w:r>
    </w:p>
    <w:p>
      <w:pPr>
        <w:pStyle w:val="Heading1"/>
      </w:pPr>
      <w:r>
        <w:t>Additional change: selection-conditioned uncertainty</w:t>
      </w:r>
    </w:p>
    <w:p>
      <w:r>
        <w:t>The Discussion now states that repeated nested-CV estimates and patient-cluster bootstrap intervals are conditional on endpoint selection in the same TCGA atlas. They do not remove winner's-curse optimism and are not presented as external-performance intervals.</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