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reviewer</w:t>
      </w:r>
    </w:p>
    <w:p>
      <w:r>
        <w:t>Manuscript: Patient-level comparison of three released pathology representation pipelines with a common PLS-based probe across TCGA cancers</w:t>
      </w:r>
    </w:p>
    <w:p>
      <w:r>
        <w:t>We thank the reviewer for the detailed statistical, biological and editorial assessment. We rebuilt the analyses with fastPLS 0.3, used the patient as the unit of analysis and cross-validation, synchronized the manuscript with the complete result files, and separated the matched three-representation benchmark from the supporting permutation and false-discovery-rate-controlled TITAN screen. The responses below report the final analysis snapshot.</w:t>
      </w:r>
    </w:p>
    <w:p>
      <w:pPr>
        <w:pStyle w:val="Heading1"/>
      </w:pPr>
      <w:r>
        <w:t>1. Scientific hierarchy and study scope</w:t>
      </w:r>
    </w:p>
    <w:p>
      <w:r>
        <w:t>The matched benchmark is now the central study. It includes 8,241 patients, 30 cancers and 3,389 cancer-endpoint pairs, comprising 2,963 continuous and 426 binary tasks evaluated with identical outcome subsets and folds for TITAN, Giga-SSL and Prov-GigaPath. The larger 9,404-patient TITAN analysis is presented as a supporting screen across 32 cancers and 3,633 eligible tasks. PathoFMPred is described as a secondary research interface and model registry rather than a source of additional validation evidence.</w:t>
      </w:r>
    </w:p>
    <w:p>
      <w:pPr>
        <w:pStyle w:val="Heading1"/>
      </w:pPr>
      <w:r>
        <w:t>2. Released representation pipelines and upstream exposure</w:t>
      </w:r>
    </w:p>
    <w:p>
      <w:r>
        <w:t>The title, Abstract and Methods now state that the study compares three released representation pipelines under a common PLS-based probe. The estimand includes upstream preprocessing, spatial-resolution assumptions, the tile and slide encoders, the released layer and representation-learning exposure. We report that the published TITAN and Prov-GigaPath pretraining corpora excluded TCGA, whereas Giga-SSL development used TCGA and direct overlap with the evaluated images cannot be excluded. Downstream molecular labels remained held out in every patient-level fold. The Supplement also lists relevant models that lacked a compatible released slide-level TCGA artifact with identifiers and common-cohort coverage.</w:t>
      </w:r>
    </w:p>
    <w:p>
      <w:pPr>
        <w:pStyle w:val="Heading1"/>
      </w:pPr>
      <w:r>
        <w:t>3. Histological input matching and patient-level pooling</w:t>
      </w:r>
    </w:p>
    <w:p>
      <w:r>
        <w:t>The revised Methods report the released patient and slide counts for all three pipelines. Of the 8,241 common patients, 8,207 had identical slide sets across all representations, and the exact common-slide intersection contained 10,165 slides. An exact-slide sensitivity produced negligible median changes and preserved the aggregate conclusions. Slides were pooled before outcome matching, and patients rather than slides were assigned to folds. Mean-versus-median pooling, within-patient cosine dispersion, leave-one-slide-out centroid change and exclusion of the 30-slide SARC participant are reported in the Supplement and machine-readable files.</w:t>
      </w:r>
    </w:p>
    <w:p>
      <w:pPr>
        <w:pStyle w:val="Heading1"/>
      </w:pPr>
      <w:r>
        <w:t>4. Binary estimand and operating point</w:t>
      </w:r>
    </w:p>
    <w:p>
      <w:r>
        <w:t>The matched binary benchmark is now AUROC-centred. Pooled inner out-of-fold AUROC selects 1 to 20 PLS components, and pooled outer out-of-fold AUROC is the primary paired statistic. A threshold selected only from inner training predictions supplies balanced accuracy, sensitivity, specificity, PPV and NPV. PR-AUC is reported with the observed TCGA prevalence as its no-skill reference. Empirical-prior, equal-prior and training-optimized class calls are retained as operating-rule sensitivities rather than as alternative definitions of representation quality.</w:t>
      </w:r>
    </w:p>
    <w:p>
      <w:pPr>
        <w:pStyle w:val="Heading1"/>
      </w:pPr>
      <w:r>
        <w:t>5. Component range and downstream-probe dependence</w:t>
      </w:r>
    </w:p>
    <w:p>
      <w:r>
        <w:t>All primary matched models now use a 1 to 20 component grid. Component selection, ceiling frequency, constant-feature handling and numerical failures are reported for every representation. The completed primary atlas contains no silent fallback. Five constant Giga-SSL dimensions were retained to preserve the released schema; training-fold centering maps them to zero. A symmetric ridge comparison uses identical partitions and tuning principles on a metadata-selected subset. We interpret every representation result as conditional on the specified downstream probe and make no claim of intrinsic foundation-model superiority.</w:t>
      </w:r>
    </w:p>
    <w:p>
      <w:pPr>
        <w:pStyle w:val="Heading1"/>
      </w:pPr>
      <w:r>
        <w:t>6. Descriptive thresholds, multiplicity and uncertainty</w:t>
      </w:r>
    </w:p>
    <w:p>
      <w:r>
        <w:t>Q2 at least 0.20 and AUROC at least 0.60 are called effect-threshold crossings throughout the matched benchmark. They are catalogue-navigation rules, not statistical discoveries. Paired Q2 and AUROC estimates, alternative-partition variability, crossing proportions and rank stability receive priority over hard categories. In the separate TITAN screen, every eligible task remained in the relevant Benjamini-Hochberg denominator; tasks that failed the performance checkpoint and conservatively early-stopped tests received distinct p=1 statuses. Selected tests were refined to 9,999 full-process permutations with Monte Carlo intervals. Repeated-validation intervals are labelled selection-conditioned patient-resampling intervals for fixed repeated out-of-fold predictions and are not presented as external-performance confidence intervals.</w:t>
      </w:r>
    </w:p>
    <w:p>
      <w:pPr>
        <w:pStyle w:val="Heading1"/>
      </w:pPr>
      <w:r>
        <w:t>7. Tissue-source-site-code sensitivity</w:t>
      </w:r>
    </w:p>
    <w:p>
      <w:r>
        <w:t>Grouping complete TCGA tissue-source-site codes in both inner and outer validation is now part of the principal evidence display. In the supporting TITAN screen, 210 of 869 candidates fell below their original effect threshold, including marked attenuation of COAD-APC and READ-APC. The machine-readable audit reports contributing codes, realized fold count, training and test class counts, single-class test folds, pooled outer metrics and a fold-adequacy flag. Matched-random partitions separate part of the fold-size and class-balance effect. We consistently describe this as sensitivity to a barcode-derived cohort-structure variable, not as institutional validation, proof of confounding or evidence of external transportability.</w:t>
      </w:r>
    </w:p>
    <w:p>
      <w:pPr>
        <w:pStyle w:val="Heading1"/>
      </w:pPr>
      <w:r>
        <w:t>8. Biological yield and endpoint provenance</w:t>
      </w:r>
    </w:p>
    <w:p>
      <w:r>
        <w:t>The Results now lead with what can be predicted. Excluding 11 same-H&amp;E tasks, continuous Q2 crossings were 633 for TITAN, 351 for Giga-SSL and 430 for Prov-GigaPath among 2,952 tasks. Binary AUROC crossings were 230, 166 and 176 among 426 tasks. Direct genomic-alteration crossings were 137, 92 and 98 among 243 tasks. Named cross-pipeline examples include THYM-GTF2I, THCA-BRAF, LGG-IDH1 and TP53, COAD strict MSI, UCEC fusion status, TGCT TGF-beta response and selected RNA-derived pathway activities. Direct genomic alterations, sequencing-derived burdens, transcriptomic signatures, inferred immune fractions, composite scores and same-H&amp;E quantities are reported separately. CIBERSORT fractions and RNA signatures are described as agreement with computational reference phenotypes rather than direct immune-cell measurements.</w:t>
      </w:r>
    </w:p>
    <w:p>
      <w:pPr>
        <w:pStyle w:val="Heading1"/>
      </w:pPr>
      <w:r>
        <w:t>9. Outcome acquisition, missingness and molecular-slide linkage</w:t>
      </w:r>
    </w:p>
    <w:p>
      <w:r>
        <w:t>The Methods now identify the source file or worksheet, identifier level, primary-sample filter, participant aggregation, missingness rule and transformation for Thorsson PanImmune features, MC3 and Bailey mutation labels, Sanchez-Vega pathway status, Taylor aneuploidy and genome doubling, Gao fusions, cBioPortal MSI fields and UCSC Xena RNA pathway scores. Wild type was assigned only within a documented profiled denominator. Source absence remained missing. Participant-level and sample-barcode linkage are distinguished, and the paper states that even an exact sample barcode does not prove identity of the block, portion, analyte, aliquot, tumour region or subclone.</w:t>
      </w:r>
    </w:p>
    <w:p>
      <w:pPr>
        <w:pStyle w:val="Heading1"/>
      </w:pPr>
      <w:r>
        <w:t>10. Pathology quality control</w:t>
      </w:r>
    </w:p>
    <w:p>
      <w:r>
        <w:t>The Methods state that no structured tumour-cellularity, tissue-area, artefact, biopsy-versus-resection or slide-quality field was available. Generated narrative text identified 35 no-residual-tumour mentions across six patients, but these labels were derived from the same slides and were not treated as independent pathology adjudication. A clearly labelled post hoc exclusion sensitivity refitted affected models after removing the six patients. This limitation and the equal-weight pooling assumption now appear in the main Methods and Table 2 rather than only in supplementary caveats.</w:t>
      </w:r>
    </w:p>
    <w:p>
      <w:pPr>
        <w:pStyle w:val="Heading1"/>
      </w:pPr>
      <w:r>
        <w:t>11. Literature positioning and biological interpretation</w:t>
      </w:r>
    </w:p>
    <w:p>
      <w:r>
        <w:t>The Background now introduces self-supervised foundation models, including DINOv2 as a general vision example, and explains how fixed slide vectors support task-specific linear models. The manuscript compares the present resource with the principal pan-cancer and endpoint-specific H&amp;E studies. The mutation crosswalk is explicitly called a targeted narrative audit; its databases, date, search strings, inclusion criteria, preprint handling and colorectal mapping rule are documented. The Discussion focuses on named consensus and discordant biological signals and avoids claims of endpoint novelty that the audit cannot substantiate.</w:t>
      </w:r>
    </w:p>
    <w:p>
      <w:pPr>
        <w:pStyle w:val="Heading1"/>
      </w:pPr>
      <w:r>
        <w:t>12. PathoFMPred examples and interpretation</w:t>
      </w:r>
    </w:p>
    <w:p>
      <w:r>
        <w:t>Main Figures 5 and 6 retain the requested TCGA-AA-A01F and TCGA-A6-A56B COAD examples. The continuous panels show only endpoints predictable for the selected cancer and representation and print each original prediction. The binary panel shows every predictable binary output across the three representations, including mutations, MSI, genome doubling and oncogenic pathway status. Binary scores are labelled uncalibrated, and every reference rank is labelled not a probability. Treatment response is not narrated. Complete package-format reports for the same two patients are supplied as Additional files 2 and 3.</w:t>
      </w:r>
    </w:p>
    <w:p>
      <w:pPr>
        <w:pStyle w:val="Heading1"/>
      </w:pPr>
      <w:r>
        <w:t>13. PathoFMPred licensing, access and fitted-object inventory</w:t>
      </w:r>
    </w:p>
    <w:p>
      <w:r>
        <w:t>Contributor-authored PathoFMPred source code and documentation are released under the MIT License. Fitted objects and third-party inputs are expressly excluded from that source-code grant. The public repository contains a minimal Giga-SSL example and offers explicit checksum-verified post-install downloads for permitted Giga-SSL and Prov-GigaPath collections, each with separate asset notices and upstream attribution. The TITAN collection remains only in the access-controlled PathoFMPred-private repository because the upstream terms describe models trained on TITAN outputs as derivatives and restrict redistribution. The public package provides generic creation and object-level prediction functions so an authorized user can build a local object from independently obtained feature and outcome tables.</w:t>
      </w:r>
    </w:p>
    <w:p>
      <w:pPr>
        <w:pStyle w:val="Heading1"/>
      </w:pPr>
      <w:r>
        <w:t>14. Package validation and reproducibility</w:t>
      </w:r>
    </w:p>
    <w:p>
      <w:r>
        <w:t>Both package variants use fastPLS 0.3 at the recorded Git commit, retain the package defaults for rSVD oversampling and power iterations, and use components 1 to 20. The builder requires unique outcome IDs, permits repeated feature IDs, pools repeated rows by mean or optional median, requires more than 100 matched IDs, reports unmatched IDs and endpoint missingness, and records the positive class for binary outcomes. Source tests and R CMD check --as-cran complete without errors or warnings. Model downloads and local objects are verified by SHA-256 and structural validation.</w:t>
      </w:r>
    </w:p>
    <w:p>
      <w:pPr>
        <w:pStyle w:val="Heading1"/>
      </w:pPr>
      <w:r>
        <w:t>15. Presentation and supplementary material</w:t>
      </w:r>
    </w:p>
    <w:p>
      <w:r>
        <w:t>The manuscript was condensed around the matched cohort, biological yield, representation-specific strengths, patient-level observed-versus-predicted values, partition sensitivity and translational interpretation. Figure 1 now shows patient and slide overlap rather than an analysis workflow. Figure 2 summarizes which tumour-feature classes and named endpoints are predictable. Figure 3 compares the representation leading each feature class, and Figure 4 shows observed versus held-out predicted values. The Supplement is restricted to compact interpretive Tables S1 to S13, four figures on separate pages and a domain-level inventory of complete machine-readable companions. Terminology, figure colours, representation order, table citations and additional-file names were standardized.</w:t>
      </w:r>
    </w:p>
    <w:p>
      <w:pPr>
        <w:pStyle w:val="Heading1"/>
      </w:pPr>
      <w:r>
        <w:t>16. External validation and remaining submission items</w:t>
      </w:r>
    </w:p>
    <w:p>
      <w:r>
        <w:t>No independent cohort was added. The Abstract, Discussion, Conclusions, package outputs and cover letter therefore describe all performance as internally derived TCGA research estimates and do not claim deployment, clinical validity, assay replacement or transportability. The remaining competing-interest, funding and CRediT statements are now complete. The source-release DOI or immutable archive identifier remains intentionally deferred at the authors' request.</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Response to reviewer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48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