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models were extended to 9,999 permutations.</w:t>
      </w:r>
    </w:p>
    <w:p>
      <w:r>
        <w:rPr>
          <w:b/>
        </w:rPr>
        <w:t xml:space="preserve">Results. </w:t>
      </w:r>
      <w:r>
        <w:t>Screening identified 219 continuous and 104 binary candidates in prespecified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PR-AUC 0.880). Prior studies supported 38/41 screen-positive cancer–gene pairs. 320/323 local candidates passed single BH correction across all 2,073 eligible tests. Tissue-source-site grouping reduced 83/323 candidates (25.7%) below the original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derived immune and genomic-context features continuously; and constructs compact fitted predictors with research-use provenance metadata. These design and resource features—not unprecedented endpoint classes—define the contribution of this study.</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and site-grouped stability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site, scanner and population variation.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site sensitivity.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results were cancer specific: the same endpoint could be predictable in one tumour type and screen-negative in another.</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ranked by the primary screening Q² from the initial nested-CV run. Five-repeat mean repeated-validation estimates are reported separately in the model tables and machine-readable summary. All Q² values are calculated from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and site-grouped stability reported alongside; q-values are not used for ranking.</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among the 87 models with at least 50 positive and 50 negative patients, ranked by primary screening balanced accuracy from the initial nested-CV run. Five-repeat mean repeated-validation estimates are reported separately. Point size represents the number of positive patients; colour indicates endpoint family and symbols report across-cancer correction status. The 17 exploratory/limited-evidence models are excluded from this main panel and shown separately in Supplementary Figure S3.</w:t>
      </w:r>
    </w:p>
    <w:p>
      <w:r>
        <w:t>Precision–recall performance was reported for every screen-positive binary endpoint. Across all 104 models, median five-repeat PR-AUC was 0.592; each value should be read against its no-skill reference, the observed TCGA prevalence. The 13 mutation or fusion endpoints with prevalence below 0.20 had median prevalence 0.091, median PR-AUC 0.360 (range 0.196–0.452), despite median AUROC 0.790. This divergence illustrates why AUROC or balanced accuracy alone can overstate positive-class retrieval under low prevalence. Endpoint-level PR-AUC, prevalence, repeat variability and class counts are reported in Supplementary Tables S6a, S7 and S10g and the machine-readable registry.</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r>
        <w:t>Complete highlighted-model performance, uncertainty, class-size metrics and tissue-source-site-grouped estimates are reported in Supplementary Table S6a and the machine-readable result files. The main text retains outcome-level summaries and illustrative figures.</w:t>
      </w:r>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519523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5195236"/>
                    </a:xfrm>
                    <a:prstGeom prst="rect"/>
                  </pic:spPr>
                </pic:pic>
              </a:graphicData>
            </a:graphic>
          </wp:inline>
        </w:drawing>
      </w:r>
    </w:p>
    <w:p>
      <w:pPr>
        <w:pStyle w:val="Caption"/>
        <w:jc w:val="center"/>
      </w:pPr>
      <w:r>
        <w:t>Figure 6. Tissue-source-site sensitivity as a principal result. Panel A compares random-fold and tissue-source-site-grouped internal performance for all 323 screen-positive models; Panel B names the largest attenuations; Panel C quantifies within-cancer prediction of tissue-source site from TITAN representations. Grouping is internal to TCGA, and tissue-source site is an imperfect proxy rather than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2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2.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interface and COAD radar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Default inference exposes 306 models; the 17 limited-evidence binary models require explicit opt-in. Every binary display uses the adjacent label 'TCGA OOF score rank (not probability)' and places training positive/negative counts, prevalence, repeated-CV balanced accuracy, AUROC, PR-AUC, TCGA-prevalence PPV/NPV, fold minima, component variability, repeat stability,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 A prominent report banner states that the output lacks independent external validation, is uncalibrated for probability and is not for diagnosis, treatment selection or clinical-risk estimation. The package provides a synthetic feature vector constructed from stored training-feature means for interface examples and smoke tests; it is explicitly labelled as not being a patient record.</w:t>
      </w:r>
    </w:p>
    <w:p>
      <w:r>
        <w:t>Two COAD participants, TCGA-AA-A01F and TCGA-AA-3972, are retained solely to show the radar and binary-output interface (Figure 7). The pair was chosen post hoc after clinical-text and profile-saturation restrictions and then maximising Euclidean separation across continuous TCGA OOF prediction percentiles;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 visualization example, not performance, prevalence, prognosis or treatment-response evidence.</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Post hoc TITANPred research-software visualization for two COAD participants. Panels A and B show internally derived full-cohort TCGA continuous estimates for TCGA-AA-A01F and TCGA-AA-3972; every radar corner gives the TCGA OOF prediction percentile and original estimate. Panel C shows PLS-LDA calls with the adjacent label 'TCGA OOF score rank (not probability)' and development class counts. The pair was selected after clinical-text and saturation restrictions by maximising continuous-profile separation, intentionally enhancing visual contrast. Treatment and outcomes are not displayed. The figure is an interface illustration, not probability-calibrated output, external validation, representative case sampling, prognosis or treatment-response evidence.</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prespecified screening-statistic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These distinctions—not breadth or endpoint novelty—motivate the study.</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Tissue-source-site sensitivity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radar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