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TCGA tissue-source-site-code constraint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TCGA tissue-source-site-code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TCGA tissue-source-site-code grouping</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TCGA tissue-source-site-code grouping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TCGA tissue-source-site-code classification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TCGA tissue-source-site-code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TCGA tissue-source-site-code grouping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r>
        <w:t>No non-TCGA patient entered model evaluation, and no external performance result is reported. The prespecified targets and protocol for future independent evaluation are provided in Supplementary Table S6c and the software documentation.</w:t>
      </w:r>
    </w:p>
    <w:p>
      <w:pPr>
        <w:pStyle w:val="Heading2"/>
      </w:pPr>
      <w:r>
        <w:t>Illustrative COAD profiles</w:t>
      </w:r>
    </w:p>
    <w:p>
      <w:r>
        <w:t>Two COAD participants, TCGA-AA-A01F and TCGA-AA-3972, illustrate contrasting continuous and binary profiles (Figure 7). The pair was chosen post hoc after clinical-text and profile-saturation restrictions and then maximising Euclidean separation across continuous TCGA OOF prediction ranks;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an illustration,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TCGA tissue-source-site-code classification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Grouping by TCGA tissue-source-site code probes one source of heterogeneity but does not directly identify an institution and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