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w:t>
      </w:r>
    </w:p>
    <w:p>
      <w:r>
        <w:t>Manuscript: A systematic patient-level benchmark and reusable model resource for molecular and derived immune-feature prediction from pretrained TITAN whole-slide representations across 32 TCGA cancers</w:t>
      </w:r>
    </w:p>
    <w:p>
      <w:r>
        <w:t>We thank the reviewer for identifying validation and reproducibility as the principal issues. The analysis has been rebuilt from the original files with patient-first slide aggregation and primary-tumour molecular matching.</w:t>
      </w:r>
    </w:p>
    <w:p>
      <w:pPr>
        <w:pStyle w:val="Heading1"/>
      </w:pPr>
      <w:r>
        <w:t>1. The novelty relative to existing pan-cancer studies must be defined much more sharply</w:t>
      </w:r>
    </w:p>
    <w:p>
      <w:r>
        <w:t>Agreed. We changed the title and abstract to frame the work as a systematic patient-level benchmark and reusable model resource, not a discovery atlas or a first pan-cancer molecular screen. The Background now quantifies the closest precedents: Fu et al. analysed 17,355 slides across 28 cancers; Kather et al. used more than 5,000 patients across 14 cancers; Saldanha et al. externally tested mutation models in seven matched TCGA/CPTAC cancers; and Arslan et al. trained 12,093 models for 4,031 biomarkers in 8,890 TCGA patients across the same 32 cancers. To keep the research article focused, the comparative review-style table has been removed from the main manuscript; the literature context is stated concisely in prose, while the detailed audit remains in Supplementary Table S11 and data/reference/pan_cancer_benchmark_comparison.csv. The abstract and Discussion state that 38/41 screen-positive cancer–gene pairs had prior statistical support. We make no general mutation-target novelty claim; the distinctive contribution is the fixed pretrained TITAN representation, deterministic pre-outcome patient aggregation, nested patient-level validation, complete negative and ineligible outputs, target-level sensitivity to grouping by TCGA tissue-source-site code, continuous immune/genomic-context modelling and compact fitted-model distribution.</w:t>
      </w:r>
    </w:p>
    <w:p>
      <w:pPr>
        <w:pStyle w:val="Heading1"/>
      </w:pPr>
      <w:r>
        <w:t>Audit comment: continuous repeated cross-validation returned negative Q² and near-zero correlation</w:t>
      </w:r>
    </w:p>
    <w:p>
      <w:r>
        <w:t>Confirmed and corrected. fastPLS returns continuous predictions as an n-by-1-by-1 array. The previous repeated-validation helper used Ypred[[1]], which extracted one scalar and silently recycled it across every patient in the held-out fold. The revised helper drops only singleton dimensions, verifies that the prediction length equals the held-out patient count, and then assigns one prediction per patient. A targeted COAD TIL Regional Fraction check agreed with pls.double.cv (corrected Q² 0.430 and Spearman 0.701 versus 0.377 and 0.655 with the independent routine). We invalidated the affected analysis fingerprint and regenerated all repeated continuous predictions, summaries, uncertainty intervals, reference distributions, figures and reports. Across the 219 screen-positive continuous models, corrected mean repeated-CV Q² values are now positive, with median Q² 0.300 and median Spearman correlation 0.553.</w:t>
      </w:r>
    </w:p>
    <w:p>
      <w:pPr>
        <w:pStyle w:val="Heading1"/>
      </w:pPr>
      <w:r>
        <w:t>Audit comment: continuous radar reference positions inherited the broken predictions</w:t>
      </w:r>
    </w:p>
    <w:p>
      <w:r>
        <w:t>Confirmed. The fitted full-cohort predictions were not affected, but the TCGA out-of-fold reference distributions used for radar positions were. TITANPred's prediction_reference.rds was rebuilt from the corrected repeated held-out predictions, the package was reinstalled, and the COAD reports and Figure 7 were regenerated. The original model prediction remains printed at every radar corner.</w:t>
      </w:r>
    </w:p>
    <w:p>
      <w:pPr>
        <w:pStyle w:val="Heading1"/>
      </w:pPr>
      <w:r>
        <w:t>3. Site sensitivity is a central result, not a supplementary robustness check</w:t>
      </w:r>
    </w:p>
    <w:p>
      <w:r>
        <w:t>Addressed as a principal analysis. Main Figure 6 now has three panels: all 323 random-fold versus results grouped by TCGA tissue-source-site code; the largest target-level attenuations, including READ–APC (balanced accuracy 0.862 to 0.495) and COAD–APC (0.793 to 0.543); and the new within-cancer TCGA tissue-source-site-code prediction analysis. Complete highlighted-model grouped metrics and warning status are in Supplementary Table S6a rather than an oversized main-text table. The public analysis registry and access-controlled TITANPred registry contain the grouped metric, delta, number of TCGA tissue-source-site codes, threshold-retention flag, near-chance flag, validation scope and warning for all 323 models; inference outputs and reports display these fields and prominently warn about models sensitive to TCGA tissue-source-site-code grouping. We report that 83/323 models (25.7%) fell below the original threshold: 58/219 continuous and 25/104 binary. The fold audit provides all 1,613 outer-fold compositions with test/training patients, TCGA tissue-source-site codes, positive and negative cases, code identifiers and seeds; selected APC folds appear in Table S10c. We confirmed from both the implementation and deterministic fold reconstruction that the TCGA tissue-source-site-code constraint was passed to inner component selection as well as outer evaluation, with no code overlap. In the new five-repeat nested PLS–LDA analysis, TITAN predicted TCGA tissue-source-site code in 27/32 evaluable cancers; median multiclass macro balanced accuracy was 0.628. We consistently call the endpoint sensitivity 'internal validation grouped by TCGA tissue-source-site code' and state that the barcode-derived code is not an institution, scanner or laboratory identifier; neither retained performance nor code classification proves institutional or scanner-level transportability.</w:t>
      </w:r>
    </w:p>
    <w:p>
      <w:pPr>
        <w:pStyle w:val="Heading1"/>
      </w:pPr>
      <w:r>
        <w:t>Audit comment: mutation novelty was overstated</w:t>
      </w:r>
    </w:p>
    <w:p>
      <w:r>
        <w:t>Confirmed. The exact-code crosswalk missed pooled colorectal studies and did not include newer pan-cancer source data. We expanded the audit using Kather et al., Saldanha et al., Arslan et al. and a clearly labelled ovarian preprint. Of 41 screen-positive mutation pairs, 38 were previously supported, 2 had been evaluated without statistical support, and only THYM–GTF2I was not identified in the reviewed predictive-model literature. All 'atlas-nominated' novelty language was removed. The revised Table S10a records evidence class, cancer scope, prior metric, source and note for every pair.</w:t>
      </w:r>
    </w:p>
    <w:p>
      <w:pPr>
        <w:pStyle w:val="Heading1"/>
      </w:pPr>
      <w:r>
        <w:t>Audit comment: PLS lacked a simple exportable baseline</w:t>
      </w:r>
    </w:p>
    <w:p>
      <w:r>
        <w:t>Superseded by a stronger representative benchmark selected without PLS performance. All 2,073 eligible tests entered a metadata-only sampling frame, and a fixed salted SHA-256 rank selected one target from every non-empty outcome-family × sample-size-tercile cell, with an additional minority-class-fraction tercile for binary outcomes. The resulting 47 targets comprise 12 continuous and 35 binary endpoints, of which only 14 were screen-positive. Median ridge-minus-PLS differences were 0.053 Q² and 0.008 AUROC. We make no PLS-superiority claim; Table S10e and machine-readable files report the sampling frame, hashes, jobs, folds, predictions and paired intervals.</w:t>
      </w:r>
    </w:p>
    <w:p>
      <w:pPr>
        <w:pStyle w:val="Heading1"/>
      </w:pPr>
      <w:r>
        <w:t>4. The binary modelling and ridge comparison use asymmetric decision rules</w:t>
      </w:r>
    </w:p>
    <w:p>
      <w:r>
        <w:t>Confirmed and corrected. The representative benchmark contains 35 binary comparisons across five repeats. PLS–LDA and ridge receive identical outer and inner folds; each operating threshold is selected from that method's inner out-of-fold score by the identical balanced-accuracy rule. Threshold-independent AUROC is primary and symmetrically thresholded balanced accuracy secondary. The median ridge-minus-PLS AUROC difference was 0.008 (IQR -0.002 to 0.027); 8 targets favoured ridge, none favoured PLS and 27 were uncertain. For balanced accuracy, 4 favoured ridge, 0 PLS and 31 were uncertain. Continuous PLS components and ridge penalties likewise use identical folds and maximise the same pooled inner out-of-fold Q². Complete repeat-level results record fold and tuning symmetry.</w:t>
      </w:r>
    </w:p>
    <w:p>
      <w:pPr>
        <w:pStyle w:val="Heading1"/>
      </w:pPr>
      <w:r>
        <w:t>5. The multiplicity framework is thoughtful but remains resolution-limited</w:t>
      </w:r>
    </w:p>
    <w:p>
      <w:r>
        <w:t>Addressed at the analysis and reporting levels. We now state unambiguously that every patient-label permutation reruns the complete nested modelling process: training-fold centering, inner five-fold selection of 1–10 components, outer-fold refitting and held-out prediction. No scaling parameter, selected component count or outer prediction is reused from the observed-label model. For every completed permutation test we added exact two-sided 95% Clopper–Pearson Monte Carlo bounds for the underlying null exceedance probability. Among completed 999-permutation tests, 308 had zero exceedances; their finite empirical p-value is 0.001 but the interval is 0–0.003686. Conservatively early-stopped tests retain p=1 and are explicitly marked as censored rather than given a precision interval. Before generating high-resolution results, we locked TGCT TGF-beta Response, THYM Th17 Cells, THCA Lymphocyte Infiltration Signature Score, BRCA Wound Healing, COAD APC, THYM GTF2I, COAD strict MSI-H and UCEC any-called-fusion; the registry was recorded in Git commit ac30ccb before the result table existed. We continued their saved deterministic permutation streams from 999 to 9,999 complete-process permutations. 8/8 had zero exceedances; refined p-values were all 0.0001. These refined values are reported as a targeted precision sensitivity and were not substituted into the prespecified FDR screen. We also added outcome-wide and single atlas-wide BH sensitivities. Of 323 locally controlled candidates, 320 passed one BH correction across all 2,073 eligible tests. The manuscript now says explicitly that the aggregate candidate count is not itself a single global 5% FDR result. Figures and tables are ordered by the outcome-appropriate predictive metric, with repeated stability and stability under grouping by TCGA tissue-source-site code reported alongside; tied permutation q-values are not used for ranking. Full endpoint-level uncertainty, atlas-wide q-values, the locked target registry and 9,999-permutation results are supplied in machine-readable files and Supplementary Table S10f.</w:t>
      </w:r>
    </w:p>
    <w:p>
      <w:pPr>
        <w:pStyle w:val="Heading1"/>
      </w:pPr>
      <w:r>
        <w:t>6. The minimum binary class requirement is too permissive for headline and distributed models</w:t>
      </w:r>
    </w:p>
    <w:p>
      <w:r>
        <w:t>Agreed. We retained the prespecified 20-per-class rule only for an inclusive, fully reported atlas screen, and added a separate ≥50-per-class evidence standard. Of 459 eligible binary cancer–endpoint pairs, 244 (53.2%) met the stricter rule. Of 104 screen-positive binary models, 87 (83.7%) met it; the remaining 17 are now labelled exploratory/limited evidence and excluded from default TITANPred inference. None of the main highlighted binary models is limited evidence. For all 104 candidates we released all 2,600 repeated outer-fold class counts, all 2,600 outer-fit component selections with reconstructed inner-fold class minima, repeat-specific PR-AUC, TCGA-prevalence PPV/NPV, and score/call stability. The smallest outer test fold contained 4 positive and 6 negative patients; within the limited subset the exact inner partitions contained as few as 12 positive training and 3 positive validation patients. For all 17 limited models we ran fixed-outer-test learning curves at 50%, 75% and 100% of the training data. Median balanced accuracy was 0.603, 0.640 and 0.636; median AUROC was 0.679, 0.730 and 0.738. Supplementary Table S10g and Figure S3 show endpoint-level counts, PR-AUC, predictive values, components, learning curves and repeat stability. The registry and inference output expose the evidence tier, default status and reliability metadata; explicit opt-in to a limited model emits a warning. PPV/NPV are labelled cohort-specific and the binary score remains explicitly uncalibrated and not a probability.</w:t>
      </w:r>
    </w:p>
    <w:p>
      <w:pPr>
        <w:pStyle w:val="Heading1"/>
      </w:pPr>
      <w:r>
        <w:t>7. Reported uncertainty is conditional and does not capture the entire modelling process</w:t>
      </w:r>
    </w:p>
    <w:p>
      <w:r>
        <w:t>Agreed. Every main and supplementary performance-table heading now uses '95% SC interval', defined in full as a '95% selection-conditioned patient-resampling interval for repeated out-of-fold predictions'. For highlighted atlas models, 1,000 bootstrap replicates retain five existing held-out prediction sets; the Methods enumerate the omitted screening, repartitioning, tuning, refitting, winner's-curse and external-site components. The PLS–ridge comparison uses 2,000 paired patient-resampling replicates and the exact d_r and Δ construction requested. Its interval is now conditional on the metadata-stratified benchmark sample—not PLS-based highlighting—and does not regenerate partitions or refit models. Matched patient-level predictions and all 235 repeat-specific differences are released. Paired primary-metric intervals favoured ridge for 8 binary and 10 continuous comparisons, PLS for none.</w:t>
      </w:r>
    </w:p>
    <w:p>
      <w:pPr>
        <w:pStyle w:val="Heading1"/>
      </w:pPr>
      <w:r>
        <w:t>8. The justification for retaining PLS as the central model is currently insufficient</w:t>
      </w:r>
    </w:p>
    <w:p>
      <w:r>
        <w:t>Agreed with the premise: the revision no longer describes PLS as the best or uniquely portable method. We replaced the PLS-highlighted comparison with a 47-target representative benchmark selected solely by outcome family, empirical sample-size tercile, binary minority-class-fraction tercile and a fixed salted hash. PLS and ridge use identical folds and identical tuning objectives. Median ridge-minus-PLS differences were 0.008 AUROC and 0.053 Q²; paired intervals favoured ridge for 8/35 binary and 10/12 continuous targets, PLS for none. We therefore retain PLS only as the prespecified reference analysis and label the fitted PLS resource accordingly; portability is explicitly stated to apply to ridge as well. PLS2 remains secondary because it covers only coherent continuous inflammatory panels, uses complete-case intersections and a fixed ordered response block, shares latent structure across responses, and cannot replace individual binary mutation/pathway/MSI/aneuploidy/fusion models. Its mean cancer-level ΔQ² values of 0.066, 0.017 and 0.056 support future locked multiresponse immune modelling, but not replacement of the endpoint-specific resource without external validation and a matched multiresponse baseline.</w:t>
      </w:r>
    </w:p>
    <w:p>
      <w:pPr>
        <w:pStyle w:val="Heading1"/>
      </w:pPr>
      <w:r>
        <w:t>9. Derived immune phenotypes, endpoint provenance and morphological context</w:t>
      </w:r>
    </w:p>
    <w:p>
      <w:r>
        <w:t>Agreed and addressed at the analysis, manuscript and supplementary-data levels. We no longer use 'immune measurements' as an undifferentiated label. Every one of the 2,073 eligible cancer–endpoint tests is classified as a directly observed genomic alteration, sequencing-derived continuous burden, computationally inferred immune-cell fraction, transcriptomic signature, pathology-associated quantity or composite genomic-context score. The new endpoint_dictionary.csv records source modality, direct/inferred status, derivation algorithm, original scale, analysis transformation, analysed and missing patients, expected measurement error, biological interpretation, assay-equivalence caveat and source reference for every target; endpoint_definition_dictionary.csv provides 194 unique definitions. The Methods and Discussion now distinguish RNA-seq CIBERSORT deconvolution, methylation-derived leukocyte fraction, RNA signatures, repertoire reconstruction, predicted neoantigens, copy-number/purity scores and directly called alterations. TIL Regional Fraction is explicitly labelled a Saltz H&amp;E-derived same-modality concordance target. We state that predicting an inferred score is not equivalent to flow cytometry, IHC, a direct immune-cell count or a clinically certified biomarker. Supplementary Table S13 summarises the classes and derivations while designating the full 2,073-row CSV as the authoritative target-level dictionary. For morphology, we added five representative high/low repeated-OOF anchor analyses spanning BLCA TIL Regional Fraction, TGCT Macrophages M2, BRCA Wound Healing, UCEC Aneuploidy score and THYM GTF2I. Each anchor is paired with its nearest within-cancer patient-level mean TITAN neighbour, with exact patient and representative-slide IDs, observed and original predicted values, prediction ranks, cosine similarity and TITAN-generated report context in Table S14 and morphology_context_examples.csv; Figure S4 shows all held-out patients behind the selected points. Because only global pooled embeddings and automated same-slide reports were available, we explicitly describe this as qualitative neighbour retrieval—not patch relevance, causal morphology or blinded pathologist review—and identify tile-level attribution plus independent pathology review as required future work.</w:t>
      </w:r>
    </w:p>
    <w:p>
      <w:pPr>
        <w:pStyle w:val="Heading1"/>
      </w:pPr>
      <w:r>
        <w:t>10. The COAD single-sample demonstration risks overinterpretation</w:t>
      </w:r>
    </w:p>
    <w:p>
      <w:r>
        <w:t>Partly agreed. At the authors' request, the two COAD participants and radar comparison remain in the main manuscript solely as a software-visualization example. We removed the clinical narrative and made the post hoc construction explicit in both Results and the Figure 7 caption: clinical-text and profile-saturation restrictions were followed by maximisation of Euclidean separation across the continuous TCGA OOF prediction-percentile profile, intentionally enhancing contrast. We removed the claim that the cases are clinically comparable and state that TCGA-AA-A01F was reported as pN1, whereas the available slide summary for TCGA-AA-3972 did not state a nodal category. All treatment, response, recurrence, follow-up and survival narrative has been deleted from the manuscript, generated case table, separate case reports and TITANPred report interface because these variables were neither inputs nor validation outcomes. Figure 7 is labelled an interface illustration—not calibrated output, external validation, representative sampling, prognosis or treatment-response evidence. The package tutorial additionally retains an explicitly non-patient synthetic smoke-test vector. The report has a prominent banner stating 'UNVALIDATED RESEARCH OUTPUT', 'TCGA OOF score rank (not probability)', 'No independent external validation' and 'Not for diagnosis, treatment selection, or clinical risk estimation'. Every binary figure and table places '(not probability)' immediately beside the score-rank label; inference rows expose rank_interpretation, rank_is_probability=FALSE and calibration_status='uncalibrated; no probability estimate'.</w:t>
      </w:r>
    </w:p>
    <w:p>
      <w:pPr>
        <w:pStyle w:val="Heading1"/>
      </w:pPr>
      <w:r>
        <w:t>Audit comment: the Introduction did not state the gap</w:t>
      </w:r>
    </w:p>
    <w:p>
      <w:r>
        <w:t>Addressed. The Background now states explicitly that breadth is not the gap after the large pan-cancer studies by Fu, Kather, Saldanha and especially Arslan. It defines the narrower gap as a reproducible patient-level benchmark using one fixed pretrained representation, deterministic slide aggregation, one nested validation framework, complete negative and ineligible reporting, target-level sensitivity to grouping by TCGA tissue-source-site code and compact fitted research models.</w:t>
      </w:r>
    </w:p>
    <w:p>
      <w:pPr>
        <w:pStyle w:val="Heading1"/>
      </w:pPr>
      <w:r>
        <w:t>Audit comment: binary percentiles could be mistaken for probabilities and small classes were not visible</w:t>
      </w:r>
    </w:p>
    <w:p>
      <w:r>
        <w:t>Addressed by relabelling rather than adding an unevaluated post-hoc calibration layer. Binary displays use 'TCGA out-of-fold score rank (not probability)', retain the raw uncalibrated LDA score and class call, and show training class counts and prevalence, balanced accuracy, AUROC, PR-AUC, TCGA-prevalence PPV/NPV, fold minima, component variability and repeat stability. Models below 50 patients in either class are no longer merely warned: they are excluded from default inference, marked exploratory/limited evidence throughout, and require explicit opt-in that emits a warning. Proper probability calibration remains future work requiring independently evaluated or fully nested calibration.</w:t>
      </w:r>
    </w:p>
    <w:p>
      <w:pPr>
        <w:pStyle w:val="Heading1"/>
      </w:pPr>
      <w:r>
        <w:t>1. Across-cancer multiplicity and permutation resolution</w:t>
      </w:r>
    </w:p>
    <w:p>
      <w:r>
        <w:t>Addressed. Every endpoint meeting the prespecified screening-statistic threshold is refined toward 999 complete-process patient-label permutations with a conservative stopping boundary of 49 exceedances, minimum completed-test resolution 0.001 and exact attempted counts retained. The prespecified within-cancer/family q-value, across-cancer family q-value, outcome-wide q-value and single atlas-wide q-value are now reported in separate machine-readable fields. Exact Monte Carlo intervals and the targeted 9,999-permutation refinement make the remaining resolution limitation explicit. The abstract, figures and Discussion distinguish locally controlled candidates from the 320/323 that also pass the single atlas-wide sensitivity; non-passage is not treated as evidence of absence.</w:t>
      </w:r>
    </w:p>
    <w:p>
      <w:pPr>
        <w:pStyle w:val="Heading1"/>
      </w:pPr>
      <w:r>
        <w:t>2. External validation is the principal unresolved limitation</w:t>
      </w:r>
    </w:p>
    <w:p>
      <w:r>
        <w:t>We agree that this is the central unresolved limitation. The official TITAN release provided the TCGA embeddings used here, but our audit found no compatible non-TCGA precomputed TITAN representation with the required outcomes; no independent patient entered analysis. CPTAC-UCEC is a realistic future cohort because its official TCIA collection reports 250 subjects, 887 pathology slides (approximately 154 GB) and linked molecular resources, but de novo TITAN extraction and exact endpoint harmonisation are required and were not performed. We therefore adopted the reviewer's computational-resource fallback throughout: 'deployment', 'patient molecular profile' and 'prediction report' language was removed; Figure 7 is retained only as a post hoc research-software visualization with an explicit no-validation caption; and all numerical outputs are labelled internally derived TCGA estimates. The abstract, intended use, Discussion and Conclusions state that there is no external performance evidence or basis for clinical interpretation. To prevent future target or threshold cherry-picking, we prospectively locked three UCEC artifacts before inspecting any external features or outcomes: TP53 mutation, genome doubling and continuous aneuploidy score. Their exact SHA-256 hashes, endpoint-compatibility rules and metrics are in Supplementary Table S6c, docs/EXTERNAL_VALIDATION_PROTOCOL.md and data/reference/external_validation_locked_targets.csv rather than the main Results. The future protocol requires exact TITAN extraction, identical patient pooling, no refitting, recalibration or threshold adjustment, and reporting of every target including failures and non-evaluable endpoints. We explicitly state that locking a protocol is not external validation.</w:t>
      </w:r>
    </w:p>
    <w:p>
      <w:pPr>
        <w:pStyle w:val="Heading1"/>
      </w:pPr>
      <w:r>
        <w:t>Additional site-sensitivity coverage across endpoint families</w:t>
      </w:r>
    </w:p>
    <w:p>
      <w:r>
        <w:t>Validation grouped by TCGA tissue-source-site code is attempted for every within-cancer screen-positive continuous and binary endpoint, not only mutations. It was feasible for 323 models. Figure 6, Table S10b and the complete machine-readable tables report target-level attenuation across immune, genomic-context, MSI, aneuploidy, fusion, pathway and mutation families.</w:t>
      </w:r>
    </w:p>
    <w:p>
      <w:pPr>
        <w:pStyle w:val="Heading1"/>
      </w:pPr>
      <w:r>
        <w:t>4. Reproducibility materials must be deposited before submission</w:t>
      </w:r>
    </w:p>
    <w:p>
      <w:r>
        <w:t>The analysis repository (https://github.com/tkcaccia/titan-prediction) remains public and contains the analysis plan, source URLs/checksums, software commit, eligibility tables, code, out-of-fold outputs, literature crosswalk, model registry and locked external-evaluation protocol. At the authors' request, the TITANPred repository (https://github.com/tkcaccia/TITANPred) is now private. The manuscript no longer claims that the package or 323 fitted objects are publicly downloadable. A public model release, if permitted, and a persistent DOI remain future release decisions; reviewers can be granted controlled access when authorised.</w:t>
      </w:r>
    </w:p>
    <w:p>
      <w:pPr>
        <w:pStyle w:val="Heading1"/>
      </w:pPr>
      <w:r>
        <w:t>5. Distinguish cancer genes from functional driver alleles</w:t>
      </w:r>
    </w:p>
    <w:p>
      <w:r>
        <w:t>Addressed throughout. Mutation targets are described as qualifying protein-altering PASS mutations in tissue-specific consensus cancer genes; the manuscript explicitly states that not every allele is functionally validated.</w:t>
      </w:r>
    </w:p>
    <w:p>
      <w:pPr>
        <w:pStyle w:val="Heading1"/>
      </w:pPr>
      <w:r>
        <w:t>6. Preserve effect-size-first interpretation of PLS2</w:t>
      </w:r>
    </w:p>
    <w:p>
      <w:r>
        <w:t>Addressed. The PLS1–PLS2 comparison is now confined to the Supplementary Methods, results and Figures S1–S2. It remains restricted to coherent inflammatory blocks, uses identical patients and folds, and is interpreted by cancer-level ΔQ² with bootstrap intervals rather than win counts. Binary molecular endpoints retain one-at-a-time PLS–LDA as the primary analysis.</w:t>
      </w:r>
    </w:p>
    <w:p>
      <w:pPr>
        <w:pStyle w:val="Heading1"/>
      </w:pPr>
      <w:r>
        <w:t>7. Complete submission-specific fields</w:t>
      </w:r>
    </w:p>
    <w:p>
      <w:r>
        <w:t>Partly outstanding. Aamilah Ismail and Martin Ocharo are listed as shared co-first authors, with Martin Ocharo second in the author order and assigned to affiliations 1 and 2. Brendon Price is included in the middle of the author list with the Division of Anatomical Pathology, University of Cape Town and National Health Laboratory Service affiliation. Silvano Piazza and Dinesh Gupta are listed immediately before Stefano Cacciatore. Silvano Piazza has dual affiliations with the ICGEB Computational Biology Group in Trieste and the Bioinformatics Facility, CIBIO, University of Trento; Dinesh Gupta has the ICGEB New Delhi affiliation. The remaining supplied author names, affiliations, available email addresses and corresponding-author details have been entered. Email addresses for Martin Ocharo, Brendon Price, Ekene Emmanuel Nweke, Silvano Piazza and Dinesh Gupta were not supplied. Funding, competing interests and contribution statements still require author confirmation and remain visibly marked where applicable. No scientific values are placeholder text.</w:t>
      </w:r>
    </w:p>
    <w:p>
      <w:pPr>
        <w:pStyle w:val="Heading1"/>
      </w:pPr>
      <w:r>
        <w:t>8. Presentation and algorithm-comparison claims</w:t>
      </w:r>
    </w:p>
    <w:p>
      <w:r>
        <w:t>Addressed. High-resolution figures and machine-readable tables accompany the Word documents. Runtime and speed claims were removed. A focused same-fold ridge benchmark was added because it directly tests whether PLS materially outperforms a simpler portable linear model; it is reported with effect magnitudes, uncertainty and selection-conditioning caveats.</w:t>
      </w:r>
    </w:p>
    <w:p>
      <w:pPr>
        <w:pStyle w:val="Heading1"/>
      </w:pPr>
      <w:r>
        <w:t>Additional change: distinguish replication from predictors not identified in the reviewed literature</w:t>
      </w:r>
    </w:p>
    <w:p>
      <w:r>
        <w:t>The Discussion uses an expanded primary-study audit, maps pooled colorectal evidence to COAD and READ, gives prior AUROC and current balanced accuracy side by side without treating the metrics as directly comparable, and distinguishes previously supported, previously evaluated-but-not-supported, and not-identified categories. Only THYM–GTF2I was not identified in the reviewed predictive-model literature, and even that result is not claimed as biological or definitive bibliographic novelty. The broader landscape audit covers MSI, continuous biomarkers, expression, gene fusion, HRD and tumour-microenvironment prediction, including external-validation examples.</w:t>
      </w:r>
    </w:p>
    <w:p>
      <w:pPr>
        <w:pStyle w:val="Heading1"/>
      </w:pPr>
      <w:r>
        <w:t>Additional change: clarify model portability without training-data release</w:t>
      </w:r>
    </w:p>
    <w:p>
      <w:r>
        <w:t>The Background, Methods, Discussion and Conclusions explain that fitted PLS and PLS–LDA models contain compact learned transformations and coefficients and can be applied without distributing patient-level training embeddings or outcomes. Licensing, privacy, governance and external-validation limitations are retained.</w:t>
      </w:r>
    </w:p>
    <w:p>
      <w:pPr>
        <w:pStyle w:val="Heading1"/>
      </w:pPr>
      <w:r>
        <w:t>Additional change: multiple slides and molecular specimen matching</w:t>
      </w:r>
    </w:p>
    <w:p>
      <w:r>
        <w:t>The primary predictor is now the feature-wise mean of every eligible diagnostic slide per patient; 843 multi-slide patients are retained in a single validation fold. We also audited every molecular source and excluded non-primary TCGA sample types before aggregation. A matched first-slide sensitivity quantifies dependence on the pooling rule.</w:t>
      </w:r>
    </w:p>
    <w:p>
      <w:pPr>
        <w:pStyle w:val="Heading1"/>
      </w:pPr>
      <w:r>
        <w:t>Additional change: molecular missingness, wild-type status and aliquots</w:t>
      </w:r>
    </w:p>
    <w:p>
      <w:r>
        <w:t>Mutation wild type is now assigned only among 8,476 patients matched to an MC3 primary-tumour profile; 919 embedding patients without a profile are excluded. The nine accepted protein-altering MC3 variant classes are explicit and a cancer-level variant-class audit is released. Fusion negatives are defined only within the study sample list. Source-specific missingness, multiple aliquots and aggregation rules are written to audit tables and reported in Methods and Supplementary Material.</w:t>
      </w:r>
    </w:p>
    <w:p>
      <w:pPr>
        <w:pStyle w:val="Heading1"/>
      </w:pPr>
      <w:r>
        <w:t>Additional change: TITAN pretraining and TCGA relationship</w:t>
      </w:r>
    </w:p>
    <w:p>
      <w:r>
        <w:t>The manuscript now documents that the published Mass-340K pretraining corpus excluded TCGA and PANDA, while TCGA was used for downstream evaluation in the original TITAN study. We therefore describe this work as a secondary TCGA benchmark and model resource, neither a pretraining-overlap analysis nor independent external validation.</w:t>
      </w:r>
    </w:p>
    <w:p>
      <w:pPr>
        <w:pStyle w:val="Heading1"/>
      </w:pPr>
      <w:r>
        <w:t>Additional change: complete performance and prediction examples</w:t>
      </w:r>
    </w:p>
    <w:p>
      <w:r>
        <w:t>Highlighted binary models now report sensitivity, specificity, balanced accuracy and AUROC; highlighted continuous models report Q², RMSE and Spearman correlation, with explicitly labelled selection-conditioned patient-resampling intervals for repeated out-of-fold predictions. Research-use provenance includes feature checksums and ranges, class coding and priors, decision rule, calibration status, external-validation status and intended use. Figure 4 compares held-out predictions directly with observed data. Figure 7 and the two separate PDF attachments (Additional files 2 and 3) are restricted to post hoc software-interface visualization and labelled internally derived, uncalibrated and not externally validated.</w:t>
      </w:r>
    </w:p>
    <w:p>
      <w:pPr>
        <w:pStyle w:val="Heading1"/>
      </w:pPr>
      <w:r>
        <w:t>Additional change: rSVD-only PLS decomposition</w:t>
      </w:r>
    </w:p>
    <w:p>
      <w:r>
        <w:t>All primary, permutation, repeated, TCGA tissue-source-site-code-grouped, slide-pooling, PLS1–PLS2 and final-model fits use CPU rSVD with 10 oversampling vectors, two power iterations and fixed seeds. Solver identity and controls are recorded in screening, sensitivity and model-registry metadata and verified against saved-model diagnostics.</w:t>
      </w:r>
    </w:p>
    <w:p>
      <w:pPr>
        <w:pStyle w:val="Heading1"/>
      </w:pPr>
      <w:r>
        <w:t>Effect terminology</w:t>
      </w:r>
    </w:p>
    <w:p>
      <w:r>
        <w:t>Agreed. We replaced 'higher effect' and 'moderate effect' throughout the manuscript, figures, tables, software report and machine-readable performance summary with the neutral labels 'prespecified screening tier A' and 'prespecified screening tier B'. The Methods define tier A as primary q&lt;0.05 with Q²≥0.40 for continuous outcomes or balanced accuracy≥0.70 for binary outcomes, and tier B as primary q&lt;0.05 with Q² from 0.20 to &lt;0.40 or balanced accuracy from 0.60 to &lt;0.70. We state explicitly that these are prioritisation rules, not established clinical or statistical effect categories, and that Q² and 2×balanced accuracy−1 are not interpreted as directly commensurate. The abstract, Results and Discussion also report that 219 continuous and 39 cancer–mutation pairs passed the across-cancer family correction and that 320/323 local candidates passed a single BH correction across all eligible atlas tests.</w:t>
      </w:r>
    </w:p>
    <w:p>
      <w:pPr>
        <w:pStyle w:val="Heading1"/>
      </w:pPr>
      <w:r>
        <w:t>Primary versus repeated estimates</w:t>
      </w:r>
    </w:p>
    <w:p>
      <w:r>
        <w:t>Agreed and clarified throughout. We now reserve 'primary screening estimate' for the initial nested-CV value used for candidate selection, permutation testing and tier assignment, and 'repeated-validation estimate' for the arithmetic mean across five additional independently seeded nested-CV partitions. The Methods explain that different folds and rSVD seeds make numerical differences expected and that the repeated estimate describes post-selection stability without replacing the primary screen. THYM–Th17 is stated explicitly as primary screening Q²=0.638 versus five-repeat mean Q²=0.594. Supplementary Table S6a presents both estimates side by side; the abstract, Results, figure captions and Supplementary Tables S6a–S10b label the relevant stage. Machine-readable summaries include explicit primary-screen fields, repeated fields, estimate labels and the repeated-minus-primary difference.</w:t>
      </w:r>
    </w:p>
    <w:p>
      <w:pPr>
        <w:pStyle w:val="Heading1"/>
      </w:pPr>
      <w:r>
        <w:t>Manuscript length and table density</w:t>
      </w:r>
    </w:p>
    <w:p>
      <w:r>
        <w:t>Agreed. The main-text comparison table was removed because the manuscript is a research article rather than a review; its essential message remains in concise Background and Discussion prose, while detailed literature comparisons remain in Supplementary Table S11 and the machine-readable crosswalk. The oversized highlighted-model performance table was also removed from the main text, with all metrics retained in Supplementary Table S6a and machine-readable outputs. After further streamlining, the locked-target implementation table was moved to Supplementary Table S6c; the main manuscript now contains only Table 1 (analysis coverage).</w:t>
      </w:r>
    </w:p>
    <w:p>
      <w:pPr>
        <w:pStyle w:val="Heading1"/>
      </w:pPr>
      <w:r>
        <w:t>Report precision–recall metrics</w:t>
      </w:r>
    </w:p>
    <w:p>
      <w:r>
        <w:t>Agreed. PR-AUC is calculated as non-interpolated average precision from held-out continuous LDA scores in each repeated nested-CV run, and its no-skill reference is explicitly defined as the observed endpoint prevalence. The Abstract now reports PR-AUC for the highlighted binary model. The main Results summarize all 104 screen-positive binary models and show the prevalence-dependent contrast directly: the 13 mutation or fusion endpoints below 20% prevalence had median prevalence 0.091, median PR-AUC 0.360 and median AUROC 0.790. Endpoint-level PR-AUC, repeat variability, prevalence and class counts remain in Supplementary Tables S6a, S7 and S10g, the model registry and TITANPred output.</w:t>
      </w:r>
    </w:p>
    <w:p>
      <w:pPr>
        <w:pStyle w:val="Heading1"/>
      </w:pPr>
      <w:r>
        <w:t>Figure readability</w:t>
      </w:r>
    </w:p>
    <w:p>
      <w:r>
        <w:t>Agreed. Figures 2 and 3 now show the 12 strongest models rather than 30, with substantially larger fonts and points, minimal encodings and links to complete supplementary results. Figure 5 is restricted to the 15 cancers with the largest candidate counts and uses larger axis and legend typography. Figure 6 retains all 323 models only in the overview, limits the attenuation panel to six endpoints and the TCGA tissue-source-site-code panel to 10 results, and enlarges all typography. Figure 7 no longer uses radar plots: its continuous panel is a shared-axis dumbbell comparison of eight endpoints with original predictions in a separate value column, and its binary panel is restricted to six endpoints. Complete case outputs remain in the two separate reports. Exact sample IDs and all non-probability and internal-validation warnings are retained.</w:t>
      </w:r>
    </w:p>
    <w:p>
      <w:pPr>
        <w:pStyle w:val="Heading1"/>
      </w:pPr>
      <w:r>
        <w:t>Move implementation detail out of the main Results</w:t>
      </w:r>
    </w:p>
    <w:p>
      <w:r>
        <w:t>Agreed. The TITANPred inventory, input schema, pooling behaviour, score-rank construction, checksums, class counts, reliability warnings, report-generation behaviour, synthetic smoke test, locked-target details and artifact metadata have been removed from the main Results. These materials remain in Supplementary Methods, Tables S6b–S6c and S13, the machine-readable registries and package documentation. The implementation-oriented 'External-validation readiness audit' subsection and the software-construction paragraph have been deleted. The main Results now contain one sentence stating the absence of external validation and a short 'Illustrative COAD profiles' section limited to the case-selection caveat and biological interpretation of Figure 7.</w:t>
      </w:r>
    </w:p>
    <w:p>
      <w:pPr>
        <w:pStyle w:val="Heading1"/>
      </w:pPr>
      <w:r>
        <w:t>Clarify the site variable</w:t>
      </w:r>
    </w:p>
    <w:p>
      <w:r>
        <w:t>Agreed. We now use 'TCGA tissue-source-site code' whenever referring to the two-character barcode field. Analyses are described as 'internal validation grouped by TCGA tissue-source-site code' and 'within-cancer TCGA tissue-source-site-code classification'; fold counts are counts of codes rather than sites. The Abstract, Methods, Results, Discussion, Figure 6 caption, Supplementary Tables S6a and S10b–S10d, reviewer report and response have been standardised. We state explicitly that this barcode-derived code is not an institution, scanner, laboratory or staining-batch identifier and that grouping by it is not external validation. Uses of 'site' with a different biological meaning, such as splice site or resection site, were retained.</w:t>
      </w:r>
    </w:p>
    <w:p>
      <w:pPr>
        <w:pStyle w:val="Heading1"/>
      </w:pPr>
      <w:r>
        <w:t>Additional change: TRIPOD+AI and fairness reporting</w:t>
      </w:r>
    </w:p>
    <w:p>
      <w:r>
        <w:t>Supplementary Table S12 maps every TRIPOD+AI item to the manuscript or repository. Participant characteristics from the TCGA Clinical Data Resource are now reported overall and by cancer; the Methods and Discussion state that no resampling or calibrated probability output was used, no formal power calculation was performed, treatment endpoints were not modelled, and demographic subgroup performance was not evaluated. Sensitivity to TCGA tissue-source-site-code grouping is not presented as a substitute for representative external subgroup evaluation.</w:t>
      </w:r>
    </w:p>
    <w:p>
      <w:pPr>
        <w:pStyle w:val="Heading1"/>
      </w:pPr>
      <w:r>
        <w:t>Additional change: selection-conditioned uncertainty</w:t>
      </w:r>
    </w:p>
    <w:p>
      <w:r>
        <w:t>The Methods, tables and Discussion now use the explicit label 'selection-conditioned patient-resampling interval for repeated out-of-fold predictions' and enumerate included and excluded uncertainty components. These intervals condition on endpoint selection and five fixed nested-CV prediction sets; they do not remove winner's-curse optimism, repeat screening or refitting, or represent external performance.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Response to reviewer — TITAN benchmark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