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derived immune-feature prediction from pretrained TITAN whole-slide representations across 32 TCGA cancers</w:t>
      </w:r>
    </w:p>
    <w:p>
      <w:r>
        <w:t>This document is Additional file 1. The COAD example A (TCGA-AA-A01F) and example B (TCGA-AA-3972) TITANPred research-software outputs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public companion analysis repository. The separate access-controlled TITANPred R package contains the fitted research models, model registry, reference distributions and research-software output template; it is currently private and is not claimed as a public artifact release. Large local restart checkpoints are not redistributed. Tables below are concise views; complete machine-readable CSV files are authoritative.</w:t>
      </w:r>
    </w:p>
    <w:p>
      <w:pPr>
        <w:pStyle w:val="Heading2"/>
      </w:pPr>
      <w:r>
        <w:t>Binary class-size, fold-composition and stability analyses</w:t>
      </w:r>
    </w:p>
    <w:p>
      <w:r>
        <w:t>The primary screening estimate is the initial nested-CV value used for candidate selection, permutation testing and tier assignment. The repeated-validation estimate is the mean across five additional independently seeded nested-CV partitions and is reported as a post-selection stability estimate. The values need not be identical because the fold partitions and rSVD seeds differ; THYM–Th17, for example, had primary screening Q²=0.638 and five-repeat mean Q²=0.594. The prespecified screen retained a minimum of 20 positive and 20 negative participants so that rare but potentially informative cancer-specific endpoints were not silently discarded. We additionally evaluated a 50-per-class threshold without redefining the original multiplicity analysis. For all screen-positive binary models, every repeated outer fold was audited for training/test class counts, and the exact inner partitions used to select 1–10 components were reconstructed and audited for class counts. Component distributions summarize the 25 outer fits generated by five repeats of five-fold nested validation. PR-AUC is non-interpolated average precision; PPV and NPV use held-out calls and the observed TCGA prevalence and are not calibrated or transportable probabilities.</w:t>
      </w:r>
    </w:p>
    <w:p>
      <w:r>
        <w:t>Prediction stability used standardized held-out LDA scores because independently fitted discriminant scales are not directly comparable. For each pair of repeats, Spearman correlation was calculated over patient scores and agreement over class calls, then averaged. Limited-evidence learning curves used the original outer test fold at every fraction and fitted the model to deterministic stratified 50%, 75% and 100% subsets of that fold's training patients. The full-data point exactly reproduces the original repeated nested-CV result. Small-class screen-positive models remain in the complete analysis registry but are excluded from default TITANPred inference; an explicit include_limited_evidence=TRUE opt-in emits a warning.</w:t>
      </w:r>
    </w:p>
    <w:p>
      <w:pPr>
        <w:pStyle w:val="Heading2"/>
      </w:pPr>
      <w:r>
        <w:t>Endpoint provenance and qualitative morphology context</w:t>
      </w:r>
    </w:p>
    <w:p>
      <w:r>
        <w:t>Every eligible cancer–endpoint target was assigned a label-generation class before interpretation: directly observed genomic alteration, sequencing-derived continuous burden, computationally inferred immune-cell fraction, transcriptomic signature, pathology-associated quantity or composite genomic-context score. The machine-readable endpoint_dictionary.csv is the complete Supplementary Table S13 dictionary and contains one row for every target, including source modality, direct/inferred status, derivation algorithm, original scale, analysis transformation, missingness, expected measurement error, biological interpretation and an assay-equivalence caveat. endpoint_definition_dictionary.csv collapses these rows to unique endpoint definitions. TIL Regional Fraction alone is flagged as a same-H&amp;E-modality target.</w:t>
      </w:r>
    </w:p>
    <w:p>
      <w:r>
        <w:t>For the morphology-context sensitivity, five models were selected to represent different label modalities rather than to imply exhaustive interpretability. High and low anchors were restricted to report-covered concordant extremes of mean repeated out-of-fold predictions. Their nearest within-cancer neighbours were selected by cosine similarity of patient-level mean TITAN representations within the corresponding high/low prediction stratum. A representative report-covered slide was chosen by minimum squared distance to the patient mean. Exact prediction values and ranks were retained without dichotomising continuous outputs. Prespecified terms and excerpts were extracted from TITAN-generated slide reports only for contextual audit. This analysis cannot localise patches or support causal morphology because tile representations, pixels and independent blinded pathology annotations were unavailable.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 PLS2 was not substituted into the main resource because it applies only to coherent continuous panels, requires the intersection of patients with every response observed, shares a latent representation across a fixed ordered response set and changes the estimand from one endpoint to a joint panel. It cannot replace the individual binary PLS–LDA models. Its positive average results motivate a future locked multiresponse immune resource, but no external validation or matched multiresponse ridge baseline was available.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Screening tier A</w:t>
            </w:r>
          </w:p>
        </w:tc>
        <w:tc>
          <w:tcPr>
            <w:tcW w:type="dxa" w:w="1392"/>
          </w:tcPr>
          <w:p>
            <w:r>
              <w:rPr>
                <w:b/>
                <w:sz w:val="17"/>
              </w:rPr>
              <w:t>Screening tier B</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p>
      <w:r>
        <w:t>The initial nested-CV screening estimate and the mean across five additional independently seeded nested-CV repeats are labelled separately. SC interval denotes the 95% selection-conditioned patient-resampling interval for repeated out-of-fold predictions. Patients are resampled from five fixed held-out prediction sets; screening, new fold generation, tuning and model fitting are not repeated within bootstrap replicates.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Cancer–endpoint</w:t>
            </w:r>
          </w:p>
        </w:tc>
        <w:tc>
          <w:tcPr>
            <w:tcW w:type="dxa" w:w="1392"/>
          </w:tcPr>
          <w:p>
            <w:r>
              <w:rPr>
                <w:b/>
                <w:sz w:val="17"/>
              </w:rPr>
              <w:t>n</w:t>
            </w:r>
          </w:p>
        </w:tc>
        <w:tc>
          <w:tcPr>
            <w:tcW w:type="dxa" w:w="1392"/>
          </w:tcPr>
          <w:p>
            <w:r>
              <w:rPr>
                <w:b/>
                <w:sz w:val="17"/>
              </w:rPr>
              <w:t>Primary metric (95% SC interval)</w:t>
            </w:r>
          </w:p>
        </w:tc>
        <w:tc>
          <w:tcPr>
            <w:tcW w:type="dxa" w:w="1392"/>
          </w:tcPr>
          <w:p>
            <w:r>
              <w:rPr>
                <w:b/>
                <w:sz w:val="17"/>
              </w:rPr>
              <w:t>Sensitivity/specificity (95% SC interval)</w:t>
            </w:r>
          </w:p>
        </w:tc>
        <w:tc>
          <w:tcPr>
            <w:tcW w:type="dxa" w:w="1392"/>
          </w:tcPr>
          <w:p>
            <w:r>
              <w:rPr>
                <w:b/>
                <w:sz w:val="17"/>
              </w:rPr>
              <w:t>Other metrics (95% SC interval)</w:t>
            </w:r>
          </w:p>
        </w:tc>
        <w:tc>
          <w:tcPr>
            <w:tcW w:type="dxa" w:w="1392"/>
          </w:tcPr>
          <w:p>
            <w:r>
              <w:rPr>
                <w:b/>
                <w:sz w:val="17"/>
              </w:rPr>
              <w:t>TSS-grouped metric/status</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485</w:t>
            </w:r>
          </w:p>
        </w:tc>
        <w:tc>
          <w:tcPr>
            <w:tcW w:type="dxa" w:w="1392"/>
            <w:vAlign w:val="center"/>
          </w:tcPr>
          <w:p>
            <w:r>
              <w:rPr>
                <w:sz w:val="16"/>
              </w:rPr>
              <w:t>Initial screen BA 0.846; five-repeat BA 0.862 (0.833–0.888)</w:t>
            </w:r>
          </w:p>
        </w:tc>
        <w:tc>
          <w:tcPr>
            <w:tcW w:type="dxa" w:w="1392"/>
            <w:vAlign w:val="center"/>
          </w:tcPr>
          <w:p>
            <w:r>
              <w:rPr>
                <w:sz w:val="16"/>
              </w:rPr>
              <w:t>Se 0.839 (0.795–0.877); Sp 0.885 (0.848–0.920)</w:t>
            </w:r>
          </w:p>
        </w:tc>
        <w:tc>
          <w:tcPr>
            <w:tcW w:type="dxa" w:w="1392"/>
            <w:vAlign w:val="center"/>
          </w:tcPr>
          <w:p>
            <w:r>
              <w:rPr>
                <w:sz w:val="16"/>
              </w:rPr>
              <w:t>AUROC 0.908 (0.880–0.932); PR-AUC 0.880 (0.831–0.926); PPV/NPV at TCGA prevalence 0.870/0.857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THYM–GTF2I</w:t>
            </w:r>
          </w:p>
        </w:tc>
        <w:tc>
          <w:tcPr>
            <w:tcW w:type="dxa" w:w="1392"/>
            <w:vAlign w:val="center"/>
          </w:tcPr>
          <w:p>
            <w:r>
              <w:rPr>
                <w:sz w:val="16"/>
              </w:rPr>
              <w:t>120</w:t>
            </w:r>
          </w:p>
        </w:tc>
        <w:tc>
          <w:tcPr>
            <w:tcW w:type="dxa" w:w="1392"/>
            <w:vAlign w:val="center"/>
          </w:tcPr>
          <w:p>
            <w:r>
              <w:rPr>
                <w:sz w:val="16"/>
              </w:rPr>
              <w:t>Initial screen BA 0.883; five-repeat BA 0.859 (0.803–0.905)</w:t>
            </w:r>
          </w:p>
        </w:tc>
        <w:tc>
          <w:tcPr>
            <w:tcW w:type="dxa" w:w="1392"/>
            <w:vAlign w:val="center"/>
          </w:tcPr>
          <w:p>
            <w:r>
              <w:rPr>
                <w:sz w:val="16"/>
              </w:rPr>
              <w:t>Se 0.878 (0.804–0.940); Sp 0.839 (0.748–0.916)</w:t>
            </w:r>
          </w:p>
        </w:tc>
        <w:tc>
          <w:tcPr>
            <w:tcW w:type="dxa" w:w="1392"/>
            <w:vAlign w:val="center"/>
          </w:tcPr>
          <w:p>
            <w:r>
              <w:rPr>
                <w:sz w:val="16"/>
              </w:rPr>
              <w:t>AUROC 0.907 (0.852–0.955); PR-AUC 0.873 (0.794–0.947); PPV/NPV at TCGA prevalence 0.841/0.877</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READ–TP53</w:t>
            </w:r>
          </w:p>
        </w:tc>
        <w:tc>
          <w:tcPr>
            <w:tcW w:type="dxa" w:w="1392"/>
            <w:vAlign w:val="center"/>
          </w:tcPr>
          <w:p>
            <w:r>
              <w:rPr>
                <w:sz w:val="16"/>
              </w:rPr>
              <w:t>135</w:t>
            </w:r>
          </w:p>
        </w:tc>
        <w:tc>
          <w:tcPr>
            <w:tcW w:type="dxa" w:w="1392"/>
            <w:vAlign w:val="center"/>
          </w:tcPr>
          <w:p>
            <w:r>
              <w:rPr>
                <w:sz w:val="16"/>
              </w:rPr>
              <w:t>Initial screen BA 0.861; five-repeat BA 0.858 (0.801–0.910)</w:t>
            </w:r>
          </w:p>
        </w:tc>
        <w:tc>
          <w:tcPr>
            <w:tcW w:type="dxa" w:w="1392"/>
            <w:vAlign w:val="center"/>
          </w:tcPr>
          <w:p>
            <w:r>
              <w:rPr>
                <w:sz w:val="16"/>
              </w:rPr>
              <w:t>Se 0.912 (0.855–0.966); Sp 0.803 (0.704–0.890)</w:t>
            </w:r>
          </w:p>
        </w:tc>
        <w:tc>
          <w:tcPr>
            <w:tcW w:type="dxa" w:w="1392"/>
            <w:vAlign w:val="center"/>
          </w:tcPr>
          <w:p>
            <w:r>
              <w:rPr>
                <w:sz w:val="16"/>
              </w:rPr>
              <w:t>AUROC 0.912 (0.860–0.956); PR-AUC 0.870 (0.785–0.954); PPV/NPV at TCGA prevalence 0.816/0.906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THCA–BRAF</w:t>
            </w:r>
          </w:p>
        </w:tc>
        <w:tc>
          <w:tcPr>
            <w:tcW w:type="dxa" w:w="1392"/>
            <w:vAlign w:val="center"/>
          </w:tcPr>
          <w:p>
            <w:r>
              <w:rPr>
                <w:sz w:val="16"/>
              </w:rPr>
              <w:t>490</w:t>
            </w:r>
          </w:p>
        </w:tc>
        <w:tc>
          <w:tcPr>
            <w:tcW w:type="dxa" w:w="1392"/>
            <w:vAlign w:val="center"/>
          </w:tcPr>
          <w:p>
            <w:r>
              <w:rPr>
                <w:sz w:val="16"/>
              </w:rPr>
              <w:t>Initial screen BA 0.830; five-repeat BA 0.837 (0.805–0.866)</w:t>
            </w:r>
          </w:p>
        </w:tc>
        <w:tc>
          <w:tcPr>
            <w:tcW w:type="dxa" w:w="1392"/>
            <w:vAlign w:val="center"/>
          </w:tcPr>
          <w:p>
            <w:r>
              <w:rPr>
                <w:sz w:val="16"/>
              </w:rPr>
              <w:t>Se 0.926 (0.897–0.952); Sp 0.747 (0.688–0.801)</w:t>
            </w:r>
          </w:p>
        </w:tc>
        <w:tc>
          <w:tcPr>
            <w:tcW w:type="dxa" w:w="1392"/>
            <w:vAlign w:val="center"/>
          </w:tcPr>
          <w:p>
            <w:r>
              <w:rPr>
                <w:sz w:val="16"/>
              </w:rPr>
              <w:t>AUROC 0.894 (0.862–0.924); PR-AUC 0.899 (0.859–0.936); PPV/NPV at TCGA prevalence 0.840/0.876</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READ–APC</w:t>
            </w:r>
          </w:p>
        </w:tc>
        <w:tc>
          <w:tcPr>
            <w:tcW w:type="dxa" w:w="1392"/>
            <w:vAlign w:val="center"/>
          </w:tcPr>
          <w:p>
            <w:r>
              <w:rPr>
                <w:sz w:val="16"/>
              </w:rPr>
              <w:t>135</w:t>
            </w:r>
          </w:p>
        </w:tc>
        <w:tc>
          <w:tcPr>
            <w:tcW w:type="dxa" w:w="1392"/>
            <w:vAlign w:val="center"/>
          </w:tcPr>
          <w:p>
            <w:r>
              <w:rPr>
                <w:sz w:val="16"/>
              </w:rPr>
              <w:t>Initial screen BA 0.862; five-repeat BA 0.827 (0.771–0.882)</w:t>
            </w:r>
          </w:p>
        </w:tc>
        <w:tc>
          <w:tcPr>
            <w:tcW w:type="dxa" w:w="1392"/>
            <w:vAlign w:val="center"/>
          </w:tcPr>
          <w:p>
            <w:r>
              <w:rPr>
                <w:sz w:val="16"/>
              </w:rPr>
              <w:t>Se 0.874 (0.810–0.931); Sp 0.780 (0.688–0.873)</w:t>
            </w:r>
          </w:p>
        </w:tc>
        <w:tc>
          <w:tcPr>
            <w:tcW w:type="dxa" w:w="1392"/>
            <w:vAlign w:val="center"/>
          </w:tcPr>
          <w:p>
            <w:r>
              <w:rPr>
                <w:sz w:val="16"/>
              </w:rPr>
              <w:t>AUROC 0.874 (0.818–0.926); PR-AUC 0.845 (0.758–0.925); PPV/NPV at TCGA prevalence 0.787/0.871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LGG–TP53</w:t>
            </w:r>
          </w:p>
        </w:tc>
        <w:tc>
          <w:tcPr>
            <w:tcW w:type="dxa" w:w="1392"/>
            <w:vAlign w:val="center"/>
          </w:tcPr>
          <w:p>
            <w:r>
              <w:rPr>
                <w:sz w:val="16"/>
              </w:rPr>
              <w:t>481</w:t>
            </w:r>
          </w:p>
        </w:tc>
        <w:tc>
          <w:tcPr>
            <w:tcW w:type="dxa" w:w="1392"/>
            <w:vAlign w:val="center"/>
          </w:tcPr>
          <w:p>
            <w:r>
              <w:rPr>
                <w:sz w:val="16"/>
              </w:rPr>
              <w:t>Initial screen BA 0.822; five-repeat BA 0.825 (0.796–0.856)</w:t>
            </w:r>
          </w:p>
        </w:tc>
        <w:tc>
          <w:tcPr>
            <w:tcW w:type="dxa" w:w="1392"/>
            <w:vAlign w:val="center"/>
          </w:tcPr>
          <w:p>
            <w:r>
              <w:rPr>
                <w:sz w:val="16"/>
              </w:rPr>
              <w:t>Se 0.803 (0.758–0.848); Sp 0.847 (0.807–0.889)</w:t>
            </w:r>
          </w:p>
        </w:tc>
        <w:tc>
          <w:tcPr>
            <w:tcW w:type="dxa" w:w="1392"/>
            <w:vAlign w:val="center"/>
          </w:tcPr>
          <w:p>
            <w:r>
              <w:rPr>
                <w:sz w:val="16"/>
              </w:rPr>
              <w:t>AUROC 0.883 (0.852–0.914); PR-AUC 0.880 (0.836–0.925); PPV/NPV at TCGA prevalence 0.848/0.802</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LGG–HIPPO</w:t>
            </w:r>
          </w:p>
        </w:tc>
        <w:tc>
          <w:tcPr>
            <w:tcW w:type="dxa" w:w="1392"/>
            <w:vAlign w:val="center"/>
          </w:tcPr>
          <w:p>
            <w:r>
              <w:rPr>
                <w:sz w:val="16"/>
              </w:rPr>
              <w:t>481</w:t>
            </w:r>
          </w:p>
        </w:tc>
        <w:tc>
          <w:tcPr>
            <w:tcW w:type="dxa" w:w="1392"/>
            <w:vAlign w:val="center"/>
          </w:tcPr>
          <w:p>
            <w:r>
              <w:rPr>
                <w:sz w:val="16"/>
              </w:rPr>
              <w:t>Initial screen BA 0.811; five-repeat BA 0.818 (0.777–0.860)</w:t>
            </w:r>
          </w:p>
        </w:tc>
        <w:tc>
          <w:tcPr>
            <w:tcW w:type="dxa" w:w="1392"/>
            <w:vAlign w:val="center"/>
          </w:tcPr>
          <w:p>
            <w:r>
              <w:rPr>
                <w:sz w:val="16"/>
              </w:rPr>
              <w:t>Se 0.941 (0.920–0.960); Sp 0.694 (0.612–0.771)</w:t>
            </w:r>
          </w:p>
        </w:tc>
        <w:tc>
          <w:tcPr>
            <w:tcW w:type="dxa" w:w="1392"/>
            <w:vAlign w:val="center"/>
          </w:tcPr>
          <w:p>
            <w:r>
              <w:rPr>
                <w:sz w:val="16"/>
              </w:rPr>
              <w:t>AUROC 0.887 (0.844–0.924); PR-AUC 0.947 (0.921–0.971); PPV/NPV at TCGA prevalence 0.920/0.761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COAD–APC</w:t>
            </w:r>
          </w:p>
        </w:tc>
        <w:tc>
          <w:tcPr>
            <w:tcW w:type="dxa" w:w="1392"/>
            <w:vAlign w:val="center"/>
          </w:tcPr>
          <w:p>
            <w:r>
              <w:rPr>
                <w:sz w:val="16"/>
              </w:rPr>
              <w:t>382</w:t>
            </w:r>
          </w:p>
        </w:tc>
        <w:tc>
          <w:tcPr>
            <w:tcW w:type="dxa" w:w="1392"/>
            <w:vAlign w:val="center"/>
          </w:tcPr>
          <w:p>
            <w:r>
              <w:rPr>
                <w:sz w:val="16"/>
              </w:rPr>
              <w:t>Initial screen BA 0.793; five-repeat BA 0.794 (0.756–0.830)</w:t>
            </w:r>
          </w:p>
        </w:tc>
        <w:tc>
          <w:tcPr>
            <w:tcW w:type="dxa" w:w="1392"/>
            <w:vAlign w:val="center"/>
          </w:tcPr>
          <w:p>
            <w:r>
              <w:rPr>
                <w:sz w:val="16"/>
              </w:rPr>
              <w:t>Se 0.883 (0.838–0.923); Sp 0.705 (0.642–0.765)</w:t>
            </w:r>
          </w:p>
        </w:tc>
        <w:tc>
          <w:tcPr>
            <w:tcW w:type="dxa" w:w="1392"/>
            <w:vAlign w:val="center"/>
          </w:tcPr>
          <w:p>
            <w:r>
              <w:rPr>
                <w:sz w:val="16"/>
              </w:rPr>
              <w:t>AUROC 0.848 (0.805–0.885); PR-AUC 0.814 (0.754–0.875); PPV/NPV at TCGA prevalence 0.760/0.851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COAD–MSI-H strict (MANTIS &gt;0.6)</w:t>
            </w:r>
          </w:p>
        </w:tc>
        <w:tc>
          <w:tcPr>
            <w:tcW w:type="dxa" w:w="1392"/>
            <w:vAlign w:val="center"/>
          </w:tcPr>
          <w:p>
            <w:r>
              <w:rPr>
                <w:sz w:val="16"/>
              </w:rPr>
              <w:t>374</w:t>
            </w:r>
          </w:p>
        </w:tc>
        <w:tc>
          <w:tcPr>
            <w:tcW w:type="dxa" w:w="1392"/>
            <w:vAlign w:val="center"/>
          </w:tcPr>
          <w:p>
            <w:r>
              <w:rPr>
                <w:sz w:val="16"/>
              </w:rPr>
              <w:t>Initial screen BA 0.784; five-repeat BA 0.782 (0.725–0.833)</w:t>
            </w:r>
          </w:p>
        </w:tc>
        <w:tc>
          <w:tcPr>
            <w:tcW w:type="dxa" w:w="1392"/>
            <w:vAlign w:val="center"/>
          </w:tcPr>
          <w:p>
            <w:r>
              <w:rPr>
                <w:sz w:val="16"/>
              </w:rPr>
              <w:t>Se 0.600 (0.489–0.702); Sp 0.964 (0.946–0.980)</w:t>
            </w:r>
          </w:p>
        </w:tc>
        <w:tc>
          <w:tcPr>
            <w:tcW w:type="dxa" w:w="1392"/>
            <w:vAlign w:val="center"/>
          </w:tcPr>
          <w:p>
            <w:r>
              <w:rPr>
                <w:sz w:val="16"/>
              </w:rPr>
              <w:t>AUROC 0.915 (0.874–0.953); PR-AUC 0.741 (0.638–0.832); PPV/NPV at TCGA prevalence 0.750/0.931</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LGG–IDH1</w:t>
            </w:r>
          </w:p>
        </w:tc>
        <w:tc>
          <w:tcPr>
            <w:tcW w:type="dxa" w:w="1392"/>
            <w:vAlign w:val="center"/>
          </w:tcPr>
          <w:p>
            <w:r>
              <w:rPr>
                <w:sz w:val="16"/>
              </w:rPr>
              <w:t>485</w:t>
            </w:r>
          </w:p>
        </w:tc>
        <w:tc>
          <w:tcPr>
            <w:tcW w:type="dxa" w:w="1392"/>
            <w:vAlign w:val="center"/>
          </w:tcPr>
          <w:p>
            <w:r>
              <w:rPr>
                <w:sz w:val="16"/>
              </w:rPr>
              <w:t>Initial screen BA 0.786; five-repeat BA 0.782 (0.740–0.823)</w:t>
            </w:r>
          </w:p>
        </w:tc>
        <w:tc>
          <w:tcPr>
            <w:tcW w:type="dxa" w:w="1392"/>
            <w:vAlign w:val="center"/>
          </w:tcPr>
          <w:p>
            <w:r>
              <w:rPr>
                <w:sz w:val="16"/>
              </w:rPr>
              <w:t>Se 0.940 (0.921–0.957); Sp 0.624 (0.540–0.702)</w:t>
            </w:r>
          </w:p>
        </w:tc>
        <w:tc>
          <w:tcPr>
            <w:tcW w:type="dxa" w:w="1392"/>
            <w:vAlign w:val="center"/>
          </w:tcPr>
          <w:p>
            <w:r>
              <w:rPr>
                <w:sz w:val="16"/>
              </w:rPr>
              <w:t>AUROC 0.853 (0.807–0.898); PR-AUC 0.933 (0.906–0.961); PPV/NPV at TCGA prevalence 0.895/0.753</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UCEC–Any called fusion</w:t>
            </w:r>
          </w:p>
        </w:tc>
        <w:tc>
          <w:tcPr>
            <w:tcW w:type="dxa" w:w="1392"/>
            <w:vAlign w:val="center"/>
          </w:tcPr>
          <w:p>
            <w:r>
              <w:rPr>
                <w:sz w:val="16"/>
              </w:rPr>
              <w:t>153</w:t>
            </w:r>
          </w:p>
        </w:tc>
        <w:tc>
          <w:tcPr>
            <w:tcW w:type="dxa" w:w="1392"/>
            <w:vAlign w:val="center"/>
          </w:tcPr>
          <w:p>
            <w:r>
              <w:rPr>
                <w:sz w:val="16"/>
              </w:rPr>
              <w:t>Initial screen BA 0.792; five-repeat BA 0.781 (0.724–0.839)</w:t>
            </w:r>
          </w:p>
        </w:tc>
        <w:tc>
          <w:tcPr>
            <w:tcW w:type="dxa" w:w="1392"/>
            <w:vAlign w:val="center"/>
          </w:tcPr>
          <w:p>
            <w:r>
              <w:rPr>
                <w:sz w:val="16"/>
              </w:rPr>
              <w:t>Se 0.770 (0.683–0.850); Sp 0.792 (0.706–0.868)</w:t>
            </w:r>
          </w:p>
        </w:tc>
        <w:tc>
          <w:tcPr>
            <w:tcW w:type="dxa" w:w="1392"/>
            <w:vAlign w:val="center"/>
          </w:tcPr>
          <w:p>
            <w:r>
              <w:rPr>
                <w:sz w:val="16"/>
              </w:rPr>
              <w:t>AUROC 0.830 (0.770–0.889); PR-AUC 0.802 (0.716–0.886); PPV/NPV at TCGA prevalence 0.803/0.759</w:t>
            </w:r>
          </w:p>
        </w:tc>
        <w:tc>
          <w:tcPr>
            <w:tcW w:type="dxa" w:w="1392"/>
            <w:vAlign w:val="center"/>
          </w:tcPr>
          <w:p>
            <w:r>
              <w:rPr>
                <w:sz w:val="16"/>
              </w:rPr>
              <w:t>None NA; None</w:t>
            </w:r>
          </w:p>
        </w:tc>
      </w:tr>
      <w:tr>
        <w:trPr>
          <w:cantSplit/>
        </w:trPr>
        <w:tc>
          <w:tcPr>
            <w:tcW w:type="dxa" w:w="1392"/>
            <w:vAlign w:val="center"/>
          </w:tcPr>
          <w:p>
            <w:r>
              <w:rPr>
                <w:sz w:val="16"/>
              </w:rPr>
              <w:t>binary</w:t>
            </w:r>
          </w:p>
        </w:tc>
        <w:tc>
          <w:tcPr>
            <w:tcW w:type="dxa" w:w="1392"/>
            <w:vAlign w:val="center"/>
          </w:tcPr>
          <w:p>
            <w:r>
              <w:rPr>
                <w:sz w:val="16"/>
              </w:rPr>
              <w:t>COAD–TP53</w:t>
            </w:r>
          </w:p>
        </w:tc>
        <w:tc>
          <w:tcPr>
            <w:tcW w:type="dxa" w:w="1392"/>
            <w:vAlign w:val="center"/>
          </w:tcPr>
          <w:p>
            <w:r>
              <w:rPr>
                <w:sz w:val="16"/>
              </w:rPr>
              <w:t>382</w:t>
            </w:r>
          </w:p>
        </w:tc>
        <w:tc>
          <w:tcPr>
            <w:tcW w:type="dxa" w:w="1392"/>
            <w:vAlign w:val="center"/>
          </w:tcPr>
          <w:p>
            <w:r>
              <w:rPr>
                <w:sz w:val="16"/>
              </w:rPr>
              <w:t>Initial screen BA 0.779; five-repeat BA 0.778 (0.740–0.814)</w:t>
            </w:r>
          </w:p>
        </w:tc>
        <w:tc>
          <w:tcPr>
            <w:tcW w:type="dxa" w:w="1392"/>
            <w:vAlign w:val="center"/>
          </w:tcPr>
          <w:p>
            <w:r>
              <w:rPr>
                <w:sz w:val="16"/>
              </w:rPr>
              <w:t>Se 0.779 (0.720–0.834); Sp 0.777 (0.723–0.827)</w:t>
            </w:r>
          </w:p>
        </w:tc>
        <w:tc>
          <w:tcPr>
            <w:tcW w:type="dxa" w:w="1392"/>
            <w:vAlign w:val="center"/>
          </w:tcPr>
          <w:p>
            <w:r>
              <w:rPr>
                <w:sz w:val="16"/>
              </w:rPr>
              <w:t>AUROC 0.854 (0.815–0.889); PR-AUC 0.793 (0.730–0.855); PPV/NPV at TCGA prevalence 0.718/0.828</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TGCT–TGF-beta Response</w:t>
            </w:r>
          </w:p>
        </w:tc>
        <w:tc>
          <w:tcPr>
            <w:tcW w:type="dxa" w:w="1392"/>
            <w:vAlign w:val="center"/>
          </w:tcPr>
          <w:p>
            <w:r>
              <w:rPr>
                <w:sz w:val="16"/>
              </w:rPr>
              <w:t>148</w:t>
            </w:r>
          </w:p>
        </w:tc>
        <w:tc>
          <w:tcPr>
            <w:tcW w:type="dxa" w:w="1392"/>
            <w:vAlign w:val="center"/>
          </w:tcPr>
          <w:p>
            <w:r>
              <w:rPr>
                <w:sz w:val="16"/>
              </w:rPr>
              <w:t>Initial screen Q² 0.670; five-repeat Q² 0.670 (0.573–0.741)</w:t>
            </w:r>
          </w:p>
        </w:tc>
        <w:tc>
          <w:tcPr>
            <w:tcW w:type="dxa" w:w="1392"/>
            <w:vAlign w:val="center"/>
          </w:tcPr>
          <w:p>
            <w:r>
              <w:rPr>
                <w:sz w:val="16"/>
              </w:rPr>
              <w:t>Not applicable</w:t>
            </w:r>
          </w:p>
        </w:tc>
        <w:tc>
          <w:tcPr>
            <w:tcW w:type="dxa" w:w="1392"/>
            <w:vAlign w:val="center"/>
          </w:tcPr>
          <w:p>
            <w:r>
              <w:rPr>
                <w:sz w:val="16"/>
              </w:rPr>
              <w:t>RMSE 0.303 (0.269–0.337); ρ 0.791 (0.713–0.842)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THYM–Th17 Cells</w:t>
            </w:r>
          </w:p>
        </w:tc>
        <w:tc>
          <w:tcPr>
            <w:tcW w:type="dxa" w:w="1392"/>
            <w:vAlign w:val="center"/>
          </w:tcPr>
          <w:p>
            <w:r>
              <w:rPr>
                <w:sz w:val="16"/>
              </w:rPr>
              <w:t>117</w:t>
            </w:r>
          </w:p>
        </w:tc>
        <w:tc>
          <w:tcPr>
            <w:tcW w:type="dxa" w:w="1392"/>
            <w:vAlign w:val="center"/>
          </w:tcPr>
          <w:p>
            <w:r>
              <w:rPr>
                <w:sz w:val="16"/>
              </w:rPr>
              <w:t>Initial screen Q² 0.638; five-repeat Q² 0.594 (0.455–0.698)</w:t>
            </w:r>
          </w:p>
        </w:tc>
        <w:tc>
          <w:tcPr>
            <w:tcW w:type="dxa" w:w="1392"/>
            <w:vAlign w:val="center"/>
          </w:tcPr>
          <w:p>
            <w:r>
              <w:rPr>
                <w:sz w:val="16"/>
              </w:rPr>
              <w:t>Not applicable</w:t>
            </w:r>
          </w:p>
        </w:tc>
        <w:tc>
          <w:tcPr>
            <w:tcW w:type="dxa" w:w="1392"/>
            <w:vAlign w:val="center"/>
          </w:tcPr>
          <w:p>
            <w:r>
              <w:rPr>
                <w:sz w:val="16"/>
              </w:rPr>
              <w:t>RMSE 1743.443 (1514.535–1979.481); ρ 0.738 (0.636–0.811)</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THCA–Lymphocyte Infiltration Signature Score</w:t>
            </w:r>
          </w:p>
        </w:tc>
        <w:tc>
          <w:tcPr>
            <w:tcW w:type="dxa" w:w="1392"/>
            <w:vAlign w:val="center"/>
          </w:tcPr>
          <w:p>
            <w:r>
              <w:rPr>
                <w:sz w:val="16"/>
              </w:rPr>
              <w:t>498</w:t>
            </w:r>
          </w:p>
        </w:tc>
        <w:tc>
          <w:tcPr>
            <w:tcW w:type="dxa" w:w="1392"/>
            <w:vAlign w:val="center"/>
          </w:tcPr>
          <w:p>
            <w:r>
              <w:rPr>
                <w:sz w:val="16"/>
              </w:rPr>
              <w:t>Initial screen Q² 0.580; five-repeat Q² 0.577 (0.511–0.636)</w:t>
            </w:r>
          </w:p>
        </w:tc>
        <w:tc>
          <w:tcPr>
            <w:tcW w:type="dxa" w:w="1392"/>
            <w:vAlign w:val="center"/>
          </w:tcPr>
          <w:p>
            <w:r>
              <w:rPr>
                <w:sz w:val="16"/>
              </w:rPr>
              <w:t>Not applicable</w:t>
            </w:r>
          </w:p>
        </w:tc>
        <w:tc>
          <w:tcPr>
            <w:tcW w:type="dxa" w:w="1392"/>
            <w:vAlign w:val="center"/>
          </w:tcPr>
          <w:p>
            <w:r>
              <w:rPr>
                <w:sz w:val="16"/>
              </w:rPr>
              <w:t>RMSE 0.781 (0.722–0.844); ρ 0.742 (0.693–0.786)</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BRCA–Wound Healing</w:t>
            </w:r>
          </w:p>
        </w:tc>
        <w:tc>
          <w:tcPr>
            <w:tcW w:type="dxa" w:w="1392"/>
            <w:vAlign w:val="center"/>
          </w:tcPr>
          <w:p>
            <w:r>
              <w:rPr>
                <w:sz w:val="16"/>
              </w:rPr>
              <w:t>1039</w:t>
            </w:r>
          </w:p>
        </w:tc>
        <w:tc>
          <w:tcPr>
            <w:tcW w:type="dxa" w:w="1392"/>
            <w:vAlign w:val="center"/>
          </w:tcPr>
          <w:p>
            <w:r>
              <w:rPr>
                <w:sz w:val="16"/>
              </w:rPr>
              <w:t>Initial screen Q² 0.527; five-repeat Q² 0.528 (0.483–0.569)</w:t>
            </w:r>
          </w:p>
        </w:tc>
        <w:tc>
          <w:tcPr>
            <w:tcW w:type="dxa" w:w="1392"/>
            <w:vAlign w:val="center"/>
          </w:tcPr>
          <w:p>
            <w:r>
              <w:rPr>
                <w:sz w:val="16"/>
              </w:rPr>
              <w:t>Not applicable</w:t>
            </w:r>
          </w:p>
        </w:tc>
        <w:tc>
          <w:tcPr>
            <w:tcW w:type="dxa" w:w="1392"/>
            <w:vAlign w:val="center"/>
          </w:tcPr>
          <w:p>
            <w:r>
              <w:rPr>
                <w:sz w:val="16"/>
              </w:rPr>
              <w:t>RMSE 0.111 (0.106–0.116); ρ 0.724 (0.694–0.753)</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THCA–TGF-beta Response</w:t>
            </w:r>
          </w:p>
        </w:tc>
        <w:tc>
          <w:tcPr>
            <w:tcW w:type="dxa" w:w="1392"/>
            <w:vAlign w:val="center"/>
          </w:tcPr>
          <w:p>
            <w:r>
              <w:rPr>
                <w:sz w:val="16"/>
              </w:rPr>
              <w:t>498</w:t>
            </w:r>
          </w:p>
        </w:tc>
        <w:tc>
          <w:tcPr>
            <w:tcW w:type="dxa" w:w="1392"/>
            <w:vAlign w:val="center"/>
          </w:tcPr>
          <w:p>
            <w:r>
              <w:rPr>
                <w:sz w:val="16"/>
              </w:rPr>
              <w:t>Initial screen Q² 0.522; five-repeat Q² 0.524 (0.458–0.587)</w:t>
            </w:r>
          </w:p>
        </w:tc>
        <w:tc>
          <w:tcPr>
            <w:tcW w:type="dxa" w:w="1392"/>
            <w:vAlign w:val="center"/>
          </w:tcPr>
          <w:p>
            <w:r>
              <w:rPr>
                <w:sz w:val="16"/>
              </w:rPr>
              <w:t>Not applicable</w:t>
            </w:r>
          </w:p>
        </w:tc>
        <w:tc>
          <w:tcPr>
            <w:tcW w:type="dxa" w:w="1392"/>
            <w:vAlign w:val="center"/>
          </w:tcPr>
          <w:p>
            <w:r>
              <w:rPr>
                <w:sz w:val="16"/>
              </w:rPr>
              <w:t>RMSE 0.233 (0.214–0.249); ρ 0.707 (0.658–0.752)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LUAD–Proliferation</w:t>
            </w:r>
          </w:p>
        </w:tc>
        <w:tc>
          <w:tcPr>
            <w:tcW w:type="dxa" w:w="1392"/>
            <w:vAlign w:val="center"/>
          </w:tcPr>
          <w:p>
            <w:r>
              <w:rPr>
                <w:sz w:val="16"/>
              </w:rPr>
              <w:t>410</w:t>
            </w:r>
          </w:p>
        </w:tc>
        <w:tc>
          <w:tcPr>
            <w:tcW w:type="dxa" w:w="1392"/>
            <w:vAlign w:val="center"/>
          </w:tcPr>
          <w:p>
            <w:r>
              <w:rPr>
                <w:sz w:val="16"/>
              </w:rPr>
              <w:t>Initial screen Q² 0.512; five-repeat Q² 0.524 (0.443–0.591)</w:t>
            </w:r>
          </w:p>
        </w:tc>
        <w:tc>
          <w:tcPr>
            <w:tcW w:type="dxa" w:w="1392"/>
            <w:vAlign w:val="center"/>
          </w:tcPr>
          <w:p>
            <w:r>
              <w:rPr>
                <w:sz w:val="16"/>
              </w:rPr>
              <w:t>Not applicable</w:t>
            </w:r>
          </w:p>
        </w:tc>
        <w:tc>
          <w:tcPr>
            <w:tcW w:type="dxa" w:w="1392"/>
            <w:vAlign w:val="center"/>
          </w:tcPr>
          <w:p>
            <w:r>
              <w:rPr>
                <w:sz w:val="16"/>
              </w:rPr>
              <w:t>RMSE 0.450 (0.413–0.486); ρ 0.729 (0.674–0.777)</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BRCA–Proliferation</w:t>
            </w:r>
          </w:p>
        </w:tc>
        <w:tc>
          <w:tcPr>
            <w:tcW w:type="dxa" w:w="1392"/>
            <w:vAlign w:val="center"/>
          </w:tcPr>
          <w:p>
            <w:r>
              <w:rPr>
                <w:sz w:val="16"/>
              </w:rPr>
              <w:t>1039</w:t>
            </w:r>
          </w:p>
        </w:tc>
        <w:tc>
          <w:tcPr>
            <w:tcW w:type="dxa" w:w="1392"/>
            <w:vAlign w:val="center"/>
          </w:tcPr>
          <w:p>
            <w:r>
              <w:rPr>
                <w:sz w:val="16"/>
              </w:rPr>
              <w:t>Initial screen Q² 0.510; five-repeat Q² 0.515 (0.467–0.560)</w:t>
            </w:r>
          </w:p>
        </w:tc>
        <w:tc>
          <w:tcPr>
            <w:tcW w:type="dxa" w:w="1392"/>
            <w:vAlign w:val="center"/>
          </w:tcPr>
          <w:p>
            <w:r>
              <w:rPr>
                <w:sz w:val="16"/>
              </w:rPr>
              <w:t>Not applicable</w:t>
            </w:r>
          </w:p>
        </w:tc>
        <w:tc>
          <w:tcPr>
            <w:tcW w:type="dxa" w:w="1392"/>
            <w:vAlign w:val="center"/>
          </w:tcPr>
          <w:p>
            <w:r>
              <w:rPr>
                <w:sz w:val="16"/>
              </w:rPr>
              <w:t>RMSE 0.441 (0.418–0.466); ρ 0.740 (0.710–0.770)</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THCA–Th1 Cells</w:t>
            </w:r>
          </w:p>
        </w:tc>
        <w:tc>
          <w:tcPr>
            <w:tcW w:type="dxa" w:w="1392"/>
            <w:vAlign w:val="center"/>
          </w:tcPr>
          <w:p>
            <w:r>
              <w:rPr>
                <w:sz w:val="16"/>
              </w:rPr>
              <w:t>498</w:t>
            </w:r>
          </w:p>
        </w:tc>
        <w:tc>
          <w:tcPr>
            <w:tcW w:type="dxa" w:w="1392"/>
            <w:vAlign w:val="center"/>
          </w:tcPr>
          <w:p>
            <w:r>
              <w:rPr>
                <w:sz w:val="16"/>
              </w:rPr>
              <w:t>Initial screen Q² 0.503; five-repeat Q² 0.514 (0.444–0.573)</w:t>
            </w:r>
          </w:p>
        </w:tc>
        <w:tc>
          <w:tcPr>
            <w:tcW w:type="dxa" w:w="1392"/>
            <w:vAlign w:val="center"/>
          </w:tcPr>
          <w:p>
            <w:r>
              <w:rPr>
                <w:sz w:val="16"/>
              </w:rPr>
              <w:t>Not applicable</w:t>
            </w:r>
          </w:p>
        </w:tc>
        <w:tc>
          <w:tcPr>
            <w:tcW w:type="dxa" w:w="1392"/>
            <w:vAlign w:val="center"/>
          </w:tcPr>
          <w:p>
            <w:r>
              <w:rPr>
                <w:sz w:val="16"/>
              </w:rPr>
              <w:t>RMSE 508.154 (472.842–543.826); ρ 0.704 (0.653–0.752)</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TGCT–Wound Healing</w:t>
            </w:r>
          </w:p>
        </w:tc>
        <w:tc>
          <w:tcPr>
            <w:tcW w:type="dxa" w:w="1392"/>
            <w:vAlign w:val="center"/>
          </w:tcPr>
          <w:p>
            <w:r>
              <w:rPr>
                <w:sz w:val="16"/>
              </w:rPr>
              <w:t>148</w:t>
            </w:r>
          </w:p>
        </w:tc>
        <w:tc>
          <w:tcPr>
            <w:tcW w:type="dxa" w:w="1392"/>
            <w:vAlign w:val="center"/>
          </w:tcPr>
          <w:p>
            <w:r>
              <w:rPr>
                <w:sz w:val="16"/>
              </w:rPr>
              <w:t>Initial screen Q² 0.503; five-repeat Q² 0.511 (0.360–0.620)</w:t>
            </w:r>
          </w:p>
        </w:tc>
        <w:tc>
          <w:tcPr>
            <w:tcW w:type="dxa" w:w="1392"/>
            <w:vAlign w:val="center"/>
          </w:tcPr>
          <w:p>
            <w:r>
              <w:rPr>
                <w:sz w:val="16"/>
              </w:rPr>
              <w:t>Not applicable</w:t>
            </w:r>
          </w:p>
        </w:tc>
        <w:tc>
          <w:tcPr>
            <w:tcW w:type="dxa" w:w="1392"/>
            <w:vAlign w:val="center"/>
          </w:tcPr>
          <w:p>
            <w:r>
              <w:rPr>
                <w:sz w:val="16"/>
              </w:rPr>
              <w:t>RMSE 0.136 (0.122–0.151); ρ 0.668 (0.549–0.764)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THCA–Macrophage Regulation</w:t>
            </w:r>
          </w:p>
        </w:tc>
        <w:tc>
          <w:tcPr>
            <w:tcW w:type="dxa" w:w="1392"/>
            <w:vAlign w:val="center"/>
          </w:tcPr>
          <w:p>
            <w:r>
              <w:rPr>
                <w:sz w:val="16"/>
              </w:rPr>
              <w:t>498</w:t>
            </w:r>
          </w:p>
        </w:tc>
        <w:tc>
          <w:tcPr>
            <w:tcW w:type="dxa" w:w="1392"/>
            <w:vAlign w:val="center"/>
          </w:tcPr>
          <w:p>
            <w:r>
              <w:rPr>
                <w:sz w:val="16"/>
              </w:rPr>
              <w:t>Initial screen Q² 0.500; five-repeat Q² 0.509 (0.438–0.580)</w:t>
            </w:r>
          </w:p>
        </w:tc>
        <w:tc>
          <w:tcPr>
            <w:tcW w:type="dxa" w:w="1392"/>
            <w:vAlign w:val="center"/>
          </w:tcPr>
          <w:p>
            <w:r>
              <w:rPr>
                <w:sz w:val="16"/>
              </w:rPr>
              <w:t>Not applicable</w:t>
            </w:r>
          </w:p>
        </w:tc>
        <w:tc>
          <w:tcPr>
            <w:tcW w:type="dxa" w:w="1392"/>
            <w:vAlign w:val="center"/>
          </w:tcPr>
          <w:p>
            <w:r>
              <w:rPr>
                <w:sz w:val="16"/>
              </w:rPr>
              <w:t>RMSE 0.453 (0.418–0.492); ρ 0.704 (0.653–0.754)</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SARC–Macrophage Regulation</w:t>
            </w:r>
          </w:p>
        </w:tc>
        <w:tc>
          <w:tcPr>
            <w:tcW w:type="dxa" w:w="1392"/>
            <w:vAlign w:val="center"/>
          </w:tcPr>
          <w:p>
            <w:r>
              <w:rPr>
                <w:sz w:val="16"/>
              </w:rPr>
              <w:t>218</w:t>
            </w:r>
          </w:p>
        </w:tc>
        <w:tc>
          <w:tcPr>
            <w:tcW w:type="dxa" w:w="1392"/>
            <w:vAlign w:val="center"/>
          </w:tcPr>
          <w:p>
            <w:r>
              <w:rPr>
                <w:sz w:val="16"/>
              </w:rPr>
              <w:t>Initial screen Q² 0.520; five-repeat Q² 0.502 (0.401–0.584)</w:t>
            </w:r>
          </w:p>
        </w:tc>
        <w:tc>
          <w:tcPr>
            <w:tcW w:type="dxa" w:w="1392"/>
            <w:vAlign w:val="center"/>
          </w:tcPr>
          <w:p>
            <w:r>
              <w:rPr>
                <w:sz w:val="16"/>
              </w:rPr>
              <w:t>Not applicable</w:t>
            </w:r>
          </w:p>
        </w:tc>
        <w:tc>
          <w:tcPr>
            <w:tcW w:type="dxa" w:w="1392"/>
            <w:vAlign w:val="center"/>
          </w:tcPr>
          <w:p>
            <w:r>
              <w:rPr>
                <w:sz w:val="16"/>
              </w:rPr>
              <w:t>RMSE 0.629 (0.577–0.678); ρ 0.697 (0.622–0.759)</w:t>
            </w:r>
          </w:p>
        </w:tc>
        <w:tc>
          <w:tcPr>
            <w:tcW w:type="dxa" w:w="1392"/>
            <w:vAlign w:val="center"/>
          </w:tcPr>
          <w:p>
            <w:r>
              <w:rPr>
                <w:sz w:val="16"/>
              </w:rPr>
              <w:t>None NA; None</w:t>
            </w:r>
          </w:p>
        </w:tc>
      </w:tr>
      <w:tr>
        <w:trPr>
          <w:cantSplit/>
        </w:trPr>
        <w:tc>
          <w:tcPr>
            <w:tcW w:type="dxa" w:w="1392"/>
            <w:vAlign w:val="center"/>
          </w:tcPr>
          <w:p>
            <w:r>
              <w:rPr>
                <w:sz w:val="16"/>
              </w:rPr>
              <w:t>continuous</w:t>
            </w:r>
          </w:p>
        </w:tc>
        <w:tc>
          <w:tcPr>
            <w:tcW w:type="dxa" w:w="1392"/>
            <w:vAlign w:val="center"/>
          </w:tcPr>
          <w:p>
            <w:r>
              <w:rPr>
                <w:sz w:val="16"/>
              </w:rPr>
              <w:t>KIRP–Proliferation</w:t>
            </w:r>
          </w:p>
        </w:tc>
        <w:tc>
          <w:tcPr>
            <w:tcW w:type="dxa" w:w="1392"/>
            <w:vAlign w:val="center"/>
          </w:tcPr>
          <w:p>
            <w:r>
              <w:rPr>
                <w:sz w:val="16"/>
              </w:rPr>
              <w:t>261</w:t>
            </w:r>
          </w:p>
        </w:tc>
        <w:tc>
          <w:tcPr>
            <w:tcW w:type="dxa" w:w="1392"/>
            <w:vAlign w:val="center"/>
          </w:tcPr>
          <w:p>
            <w:r>
              <w:rPr>
                <w:sz w:val="16"/>
              </w:rPr>
              <w:t>Initial screen Q² 0.515; five-repeat Q² 0.499 (0.386–0.585)</w:t>
            </w:r>
          </w:p>
        </w:tc>
        <w:tc>
          <w:tcPr>
            <w:tcW w:type="dxa" w:w="1392"/>
            <w:vAlign w:val="center"/>
          </w:tcPr>
          <w:p>
            <w:r>
              <w:rPr>
                <w:sz w:val="16"/>
              </w:rPr>
              <w:t>Not applicable</w:t>
            </w:r>
          </w:p>
        </w:tc>
        <w:tc>
          <w:tcPr>
            <w:tcW w:type="dxa" w:w="1392"/>
            <w:vAlign w:val="center"/>
          </w:tcPr>
          <w:p>
            <w:r>
              <w:rPr>
                <w:sz w:val="16"/>
              </w:rPr>
              <w:t>RMSE 0.400 (0.364–0.429); ρ 0.605 (0.521–0.688)</w:t>
            </w:r>
          </w:p>
        </w:tc>
        <w:tc>
          <w:tcPr>
            <w:tcW w:type="dxa" w:w="1392"/>
            <w:vAlign w:val="center"/>
          </w:tcPr>
          <w:p>
            <w:r>
              <w:rPr>
                <w:sz w:val="16"/>
              </w:rPr>
              <w:t>None NA; None</w:t>
            </w:r>
          </w:p>
        </w:tc>
      </w:tr>
    </w:tbl>
    <w:p/>
    <w:p>
      <w:pPr>
        <w:pStyle w:val="Heading1"/>
      </w:pPr>
      <w:r>
        <w:t>Table S6b. Highlighted-model research-use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TCGA TSS codes: None; delta: NA; status: None; inner TSS-code separation: None; local artifact; public release requires upstream permission</w:t>
            </w:r>
          </w:p>
        </w:tc>
      </w:tr>
    </w:tbl>
    <w:p/>
    <w:p>
      <w:pPr>
        <w:pStyle w:val="Heading1"/>
      </w:pPr>
      <w:r>
        <w:t>Table S6c. Prospectively locked subset for future independent evaluation</w:t>
      </w:r>
    </w:p>
    <w:p>
      <w:r>
        <w:t>These three models were selected after the internal TCGA screen but before inspection of any external features, outcomes or predictions. The external analysis has not been performed. No refitting, recalibration, class-prior change, threshold adjustment or outcome optimisation is permitted. Every target must be reported, including failure or non-evaluability.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Order</w:t>
            </w:r>
          </w:p>
        </w:tc>
        <w:tc>
          <w:tcPr>
            <w:tcW w:type="dxa" w:w="1624"/>
          </w:tcPr>
          <w:p>
            <w:r>
              <w:rPr>
                <w:b/>
                <w:sz w:val="17"/>
              </w:rPr>
              <w:t>Target/type</w:t>
            </w:r>
          </w:p>
        </w:tc>
        <w:tc>
          <w:tcPr>
            <w:tcW w:type="dxa" w:w="1624"/>
          </w:tcPr>
          <w:p>
            <w:r>
              <w:rPr>
                <w:b/>
                <w:sz w:val="17"/>
              </w:rPr>
              <w:t>Model SHA-256</w:t>
            </w:r>
          </w:p>
        </w:tc>
        <w:tc>
          <w:tcPr>
            <w:tcW w:type="dxa" w:w="1624"/>
          </w:tcPr>
          <w:p>
            <w:r>
              <w:rPr>
                <w:b/>
                <w:sz w:val="17"/>
              </w:rPr>
              <w:t>Internal TCGA evidence</w:t>
            </w:r>
          </w:p>
        </w:tc>
        <w:tc>
          <w:tcPr>
            <w:tcW w:type="dxa" w:w="1624"/>
          </w:tcPr>
          <w:p>
            <w:r>
              <w:rPr>
                <w:b/>
                <w:sz w:val="17"/>
              </w:rPr>
              <w:t>External metrics</w:t>
            </w:r>
          </w:p>
        </w:tc>
        <w:tc>
          <w:tcPr>
            <w:tcW w:type="dxa" w:w="1624"/>
          </w:tcPr>
          <w:p>
            <w:r>
              <w:rPr>
                <w:b/>
                <w:sz w:val="17"/>
              </w:rPr>
              <w:t>Compatibility and reporting rule</w:t>
            </w:r>
          </w:p>
        </w:tc>
      </w:tr>
      <w:tr>
        <w:trPr>
          <w:cantSplit/>
        </w:trPr>
        <w:tc>
          <w:tcPr>
            <w:tcW w:type="dxa" w:w="1624"/>
            <w:vAlign w:val="center"/>
          </w:tcPr>
          <w:p>
            <w:r>
              <w:rPr>
                <w:sz w:val="16"/>
              </w:rPr>
              <w:t>1</w:t>
            </w:r>
          </w:p>
        </w:tc>
        <w:tc>
          <w:tcPr>
            <w:tcW w:type="dxa" w:w="1624"/>
            <w:vAlign w:val="center"/>
          </w:tcPr>
          <w:p>
            <w:r>
              <w:rPr>
                <w:sz w:val="16"/>
              </w:rPr>
              <w:t>UCEC–TP53 (common mutation)</w:t>
            </w:r>
          </w:p>
        </w:tc>
        <w:tc>
          <w:tcPr>
            <w:tcW w:type="dxa" w:w="1624"/>
            <w:vAlign w:val="center"/>
          </w:tcPr>
          <w:p>
            <w:r>
              <w:rPr>
                <w:sz w:val="16"/>
              </w:rPr>
              <w:t>c39ba2caeefc148e67412647f3e1835dbcd719088a4d379b53068482ebb2ede0</w:t>
            </w:r>
          </w:p>
        </w:tc>
        <w:tc>
          <w:tcPr>
            <w:tcW w:type="dxa" w:w="1624"/>
            <w:vAlign w:val="center"/>
          </w:tcPr>
          <w:p>
            <w:r>
              <w:rPr>
                <w:sz w:val="16"/>
              </w:rPr>
              <w:t>balanced accuracy 0.744; AUROC 0.821; sensitivity 0.612; specificity 0.877; site-grouped balanced accuracy 0.740</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Protein-altering somatic TP53 status must be reconstructed without reference to TITAN predictions; if a sufficiently concordant definition cannot be produced the target is reported as non-evaluable. Report all eligible patients, missingness, exclusions, metric estimates and failure/non-evaluable status. Status: Not performed.</w:t>
            </w:r>
          </w:p>
        </w:tc>
      </w:tr>
      <w:tr>
        <w:trPr>
          <w:cantSplit/>
        </w:trPr>
        <w:tc>
          <w:tcPr>
            <w:tcW w:type="dxa" w:w="1624"/>
            <w:vAlign w:val="center"/>
          </w:tcPr>
          <w:p>
            <w:r>
              <w:rPr>
                <w:sz w:val="16"/>
              </w:rPr>
              <w:t>2</w:t>
            </w:r>
          </w:p>
        </w:tc>
        <w:tc>
          <w:tcPr>
            <w:tcW w:type="dxa" w:w="1624"/>
            <w:vAlign w:val="center"/>
          </w:tcPr>
          <w:p>
            <w:r>
              <w:rPr>
                <w:sz w:val="16"/>
              </w:rPr>
              <w:t>UCEC–Genome doubling (binary genomic instability)</w:t>
            </w:r>
          </w:p>
        </w:tc>
        <w:tc>
          <w:tcPr>
            <w:tcW w:type="dxa" w:w="1624"/>
            <w:vAlign w:val="center"/>
          </w:tcPr>
          <w:p>
            <w:r>
              <w:rPr>
                <w:sz w:val="16"/>
              </w:rPr>
              <w:t>8f9fd73578189bab5d5c88bb8005415a07b93a662f2b0adb893f0b04e1cc3604</w:t>
            </w:r>
          </w:p>
        </w:tc>
        <w:tc>
          <w:tcPr>
            <w:tcW w:type="dxa" w:w="1624"/>
            <w:vAlign w:val="center"/>
          </w:tcPr>
          <w:p>
            <w:r>
              <w:rPr>
                <w:sz w:val="16"/>
              </w:rPr>
              <w:t>balanced accuracy 0.722; AUROC 0.833; sensitivity 0.544; specificity 0.900; site-grouped balanced accuracy 0.722</w:t>
            </w:r>
          </w:p>
        </w:tc>
        <w:tc>
          <w:tcPr>
            <w:tcW w:type="dxa" w:w="1624"/>
            <w:vAlign w:val="center"/>
          </w:tcPr>
          <w:p>
            <w:r>
              <w:rPr>
                <w:sz w:val="16"/>
              </w:rPr>
              <w:t>Primary: balanced accuracy; secondary: AUROC; sensitivity; specificity; prevalence; 95% confidence intervals</w:t>
            </w:r>
          </w:p>
        </w:tc>
        <w:tc>
          <w:tcPr>
            <w:tcW w:type="dxa" w:w="1624"/>
            <w:vAlign w:val="center"/>
          </w:tcPr>
          <w:p>
            <w:r>
              <w:rPr>
                <w:sz w:val="16"/>
              </w:rPr>
              <w:t>Genome-doubling status must use the same copy-number/ploidy definition or be reported as non-evaluable; no surrogate threshold may be selected from external predictions. Report all eligible patients, missingness, exclusions, metric estimates and failure/non-evaluable status. Status: Not performed.</w:t>
            </w:r>
          </w:p>
        </w:tc>
      </w:tr>
      <w:tr>
        <w:trPr>
          <w:cantSplit/>
        </w:trPr>
        <w:tc>
          <w:tcPr>
            <w:tcW w:type="dxa" w:w="1624"/>
            <w:vAlign w:val="center"/>
          </w:tcPr>
          <w:p>
            <w:r>
              <w:rPr>
                <w:sz w:val="16"/>
              </w:rPr>
              <w:t>3</w:t>
            </w:r>
          </w:p>
        </w:tc>
        <w:tc>
          <w:tcPr>
            <w:tcW w:type="dxa" w:w="1624"/>
            <w:vAlign w:val="center"/>
          </w:tcPr>
          <w:p>
            <w:r>
              <w:rPr>
                <w:sz w:val="16"/>
              </w:rPr>
              <w:t>UCEC–Aneuploidy score (continuous genomic context)</w:t>
            </w:r>
          </w:p>
        </w:tc>
        <w:tc>
          <w:tcPr>
            <w:tcW w:type="dxa" w:w="1624"/>
            <w:vAlign w:val="center"/>
          </w:tcPr>
          <w:p>
            <w:r>
              <w:rPr>
                <w:sz w:val="16"/>
              </w:rPr>
              <w:t>0c520d8a9d57dd5af109416c5b82ffb0f0862e3505cd9888965fdeee4aa60f3b</w:t>
            </w:r>
          </w:p>
        </w:tc>
        <w:tc>
          <w:tcPr>
            <w:tcW w:type="dxa" w:w="1624"/>
            <w:vAlign w:val="center"/>
          </w:tcPr>
          <w:p>
            <w:r>
              <w:rPr>
                <w:sz w:val="16"/>
              </w:rPr>
              <w:t>Q2 0.347; RMSE 5.763; Spearman correlation 0.596; site-grouped Q2 0.328</w:t>
            </w:r>
          </w:p>
        </w:tc>
        <w:tc>
          <w:tcPr>
            <w:tcW w:type="dxa" w:w="1624"/>
            <w:vAlign w:val="center"/>
          </w:tcPr>
          <w:p>
            <w:r>
              <w:rPr>
                <w:sz w:val="16"/>
              </w:rPr>
              <w:t>Primary: Q2; secondary: RMSE; Spearman correlation; calibration intercept and slope; 95% confidence intervals</w:t>
            </w:r>
          </w:p>
        </w:tc>
        <w:tc>
          <w:tcPr>
            <w:tcW w:type="dxa" w:w="1624"/>
            <w:vAlign w:val="center"/>
          </w:tcPr>
          <w:p>
            <w:r>
              <w:rPr>
                <w:sz w:val="16"/>
              </w:rPr>
              <w:t>Aneuploidy score must be reconstructed with the Taylor et al. arm-level definition without reference to TITAN predictions or be reported as non-evaluable. Report all eligible patients, missingness, exclusions, metric estimates and failure/non-evaluable status. Status: Not performed.</w:t>
            </w:r>
          </w:p>
        </w:tc>
      </w:tr>
    </w:tbl>
    <w:p/>
    <w:p>
      <w:pPr>
        <w:pStyle w:val="Heading1"/>
      </w:pPr>
      <w:r>
        <w:t>Table S7. Top continuous results from the initial nested-CV screen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Primary screen 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prespecified screening tier A</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prespecified screening tier A</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prespecified screening tier B</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prespecified screening tier B</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prespecified screening tier B</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prespecified screening tier B</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prespecified screening tier B</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prespecified screening tier B</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prespecified screening tier B</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prespecified screening tier B</w:t>
            </w:r>
          </w:p>
        </w:tc>
      </w:tr>
    </w:tbl>
    <w:p/>
    <w:p>
      <w:pPr>
        <w:pStyle w:val="Heading1"/>
      </w:pPr>
      <w:r>
        <w:t>Table S8. Top binary results from the initial nested-CV screen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Cancer</w:t>
            </w:r>
          </w:p>
        </w:tc>
        <w:tc>
          <w:tcPr>
            <w:tcW w:type="dxa" w:w="1083"/>
          </w:tcPr>
          <w:p>
            <w:r>
              <w:rPr>
                <w:b/>
                <w:sz w:val="17"/>
              </w:rPr>
              <w:t>Endpoint</w:t>
            </w:r>
          </w:p>
        </w:tc>
        <w:tc>
          <w:tcPr>
            <w:tcW w:type="dxa" w:w="1083"/>
          </w:tcPr>
          <w:p>
            <w:r>
              <w:rPr>
                <w:b/>
                <w:sz w:val="17"/>
              </w:rPr>
              <w:t>Family</w:t>
            </w:r>
          </w:p>
        </w:tc>
        <w:tc>
          <w:tcPr>
            <w:tcW w:type="dxa" w:w="1083"/>
          </w:tcPr>
          <w:p>
            <w:r>
              <w:rPr>
                <w:b/>
                <w:sz w:val="17"/>
              </w:rPr>
              <w:t>n</w:t>
            </w:r>
          </w:p>
        </w:tc>
        <w:tc>
          <w:tcPr>
            <w:tcW w:type="dxa" w:w="1083"/>
          </w:tcPr>
          <w:p>
            <w:r>
              <w:rPr>
                <w:b/>
                <w:sz w:val="17"/>
              </w:rPr>
              <w:t>Positive</w:t>
            </w:r>
          </w:p>
        </w:tc>
        <w:tc>
          <w:tcPr>
            <w:tcW w:type="dxa" w:w="1083"/>
          </w:tcPr>
          <w:p>
            <w:r>
              <w:rPr>
                <w:b/>
                <w:sz w:val="17"/>
              </w:rPr>
              <w:t>Primary screen BA</w:t>
            </w:r>
          </w:p>
        </w:tc>
        <w:tc>
          <w:tcPr>
            <w:tcW w:type="dxa" w:w="1083"/>
          </w:tcPr>
          <w:p>
            <w:r>
              <w:rPr>
                <w:b/>
                <w:sz w:val="17"/>
              </w:rPr>
              <w:t>Five-repeat PR-AUC</w:t>
            </w:r>
          </w:p>
        </w:tc>
        <w:tc>
          <w:tcPr>
            <w:tcW w:type="dxa" w:w="1083"/>
          </w:tcPr>
          <w:p>
            <w:r>
              <w:rPr>
                <w:b/>
                <w:sz w:val="17"/>
              </w:rPr>
              <w:t>q</w:t>
            </w:r>
          </w:p>
        </w:tc>
        <w:tc>
          <w:tcPr>
            <w:tcW w:type="dxa" w:w="1083"/>
          </w:tcPr>
          <w:p>
            <w:r>
              <w:rPr>
                <w:b/>
                <w:sz w:val="17"/>
              </w:rPr>
              <w:t>Evidence/default</w:t>
            </w:r>
          </w:p>
        </w:tc>
      </w:tr>
      <w:tr>
        <w:trPr>
          <w:cantSplit/>
        </w:trPr>
        <w:tc>
          <w:tcPr>
            <w:tcW w:type="dxa" w:w="1083"/>
            <w:vAlign w:val="center"/>
          </w:tcPr>
          <w:p>
            <w:r>
              <w:rPr>
                <w:sz w:val="16"/>
              </w:rPr>
              <w:t>THYM</w:t>
            </w:r>
          </w:p>
        </w:tc>
        <w:tc>
          <w:tcPr>
            <w:tcW w:type="dxa" w:w="1083"/>
            <w:vAlign w:val="center"/>
          </w:tcPr>
          <w:p>
            <w:r>
              <w:rPr>
                <w:sz w:val="16"/>
              </w:rPr>
              <w:t>GTF2I</w:t>
            </w:r>
          </w:p>
        </w:tc>
        <w:tc>
          <w:tcPr>
            <w:tcW w:type="dxa" w:w="1083"/>
            <w:vAlign w:val="center"/>
          </w:tcPr>
          <w:p>
            <w:r>
              <w:rPr>
                <w:sz w:val="16"/>
              </w:rPr>
              <w:t>driver_mutation</w:t>
            </w:r>
          </w:p>
        </w:tc>
        <w:tc>
          <w:tcPr>
            <w:tcW w:type="dxa" w:w="1083"/>
            <w:vAlign w:val="center"/>
          </w:tcPr>
          <w:p>
            <w:r>
              <w:rPr>
                <w:sz w:val="16"/>
              </w:rPr>
              <w:t>120</w:t>
            </w:r>
          </w:p>
        </w:tc>
        <w:tc>
          <w:tcPr>
            <w:tcW w:type="dxa" w:w="1083"/>
            <w:vAlign w:val="center"/>
          </w:tcPr>
          <w:p>
            <w:r>
              <w:rPr>
                <w:sz w:val="16"/>
              </w:rPr>
              <w:t>59</w:t>
            </w:r>
          </w:p>
        </w:tc>
        <w:tc>
          <w:tcPr>
            <w:tcW w:type="dxa" w:w="1083"/>
            <w:vAlign w:val="center"/>
          </w:tcPr>
          <w:p>
            <w:r>
              <w:rPr>
                <w:sz w:val="16"/>
              </w:rPr>
              <w:t>0.883</w:t>
            </w:r>
          </w:p>
        </w:tc>
        <w:tc>
          <w:tcPr>
            <w:tcW w:type="dxa" w:w="1083"/>
            <w:vAlign w:val="center"/>
          </w:tcPr>
          <w:p>
            <w:r>
              <w:rPr>
                <w:sz w:val="16"/>
              </w:rPr>
              <w:t>0.873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65</w:t>
            </w:r>
          </w:p>
        </w:tc>
        <w:tc>
          <w:tcPr>
            <w:tcW w:type="dxa" w:w="1083"/>
            <w:vAlign w:val="center"/>
          </w:tcPr>
          <w:p>
            <w:r>
              <w:rPr>
                <w:sz w:val="16"/>
              </w:rPr>
              <w:t>0.862</w:t>
            </w:r>
          </w:p>
        </w:tc>
        <w:tc>
          <w:tcPr>
            <w:tcW w:type="dxa" w:w="1083"/>
            <w:vAlign w:val="center"/>
          </w:tcPr>
          <w:p>
            <w:r>
              <w:rPr>
                <w:sz w:val="16"/>
              </w:rPr>
              <w:t>0.845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READ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135</w:t>
            </w:r>
          </w:p>
        </w:tc>
        <w:tc>
          <w:tcPr>
            <w:tcW w:type="dxa" w:w="1083"/>
            <w:vAlign w:val="center"/>
          </w:tcPr>
          <w:p>
            <w:r>
              <w:rPr>
                <w:sz w:val="16"/>
              </w:rPr>
              <w:t>66</w:t>
            </w:r>
          </w:p>
        </w:tc>
        <w:tc>
          <w:tcPr>
            <w:tcW w:type="dxa" w:w="1083"/>
            <w:vAlign w:val="center"/>
          </w:tcPr>
          <w:p>
            <w:r>
              <w:rPr>
                <w:sz w:val="16"/>
              </w:rPr>
              <w:t>0.861</w:t>
            </w:r>
          </w:p>
        </w:tc>
        <w:tc>
          <w:tcPr>
            <w:tcW w:type="dxa" w:w="1083"/>
            <w:vAlign w:val="center"/>
          </w:tcPr>
          <w:p>
            <w:r>
              <w:rPr>
                <w:sz w:val="16"/>
              </w:rPr>
              <w:t>0.870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232</w:t>
            </w:r>
          </w:p>
        </w:tc>
        <w:tc>
          <w:tcPr>
            <w:tcW w:type="dxa" w:w="1083"/>
            <w:vAlign w:val="center"/>
          </w:tcPr>
          <w:p>
            <w:r>
              <w:rPr>
                <w:sz w:val="16"/>
              </w:rPr>
              <w:t>0.846</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289</w:t>
            </w:r>
          </w:p>
        </w:tc>
        <w:tc>
          <w:tcPr>
            <w:tcW w:type="dxa" w:w="1083"/>
            <w:vAlign w:val="center"/>
          </w:tcPr>
          <w:p>
            <w:r>
              <w:rPr>
                <w:sz w:val="16"/>
              </w:rPr>
              <w:t>0.830</w:t>
            </w:r>
          </w:p>
        </w:tc>
        <w:tc>
          <w:tcPr>
            <w:tcW w:type="dxa" w:w="1083"/>
            <w:vAlign w:val="center"/>
          </w:tcPr>
          <w:p>
            <w:r>
              <w:rPr>
                <w:sz w:val="16"/>
              </w:rPr>
              <w:t>0.899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248</w:t>
            </w:r>
          </w:p>
        </w:tc>
        <w:tc>
          <w:tcPr>
            <w:tcW w:type="dxa" w:w="1083"/>
            <w:vAlign w:val="center"/>
          </w:tcPr>
          <w:p>
            <w:r>
              <w:rPr>
                <w:sz w:val="16"/>
              </w:rPr>
              <w:t>0.822</w:t>
            </w:r>
          </w:p>
        </w:tc>
        <w:tc>
          <w:tcPr>
            <w:tcW w:type="dxa" w:w="1083"/>
            <w:vAlign w:val="center"/>
          </w:tcPr>
          <w:p>
            <w:r>
              <w:rPr>
                <w:sz w:val="16"/>
              </w:rPr>
              <w:t>0.880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379</w:t>
            </w:r>
          </w:p>
        </w:tc>
        <w:tc>
          <w:tcPr>
            <w:tcW w:type="dxa" w:w="1083"/>
            <w:vAlign w:val="center"/>
          </w:tcPr>
          <w:p>
            <w:r>
              <w:rPr>
                <w:sz w:val="16"/>
              </w:rPr>
              <w:t>0.811</w:t>
            </w:r>
          </w:p>
        </w:tc>
        <w:tc>
          <w:tcPr>
            <w:tcW w:type="dxa" w:w="1083"/>
            <w:vAlign w:val="center"/>
          </w:tcPr>
          <w:p>
            <w:r>
              <w:rPr>
                <w:sz w:val="16"/>
              </w:rPr>
              <w:t>0.947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196</w:t>
            </w:r>
          </w:p>
        </w:tc>
        <w:tc>
          <w:tcPr>
            <w:tcW w:type="dxa" w:w="1083"/>
            <w:vAlign w:val="center"/>
          </w:tcPr>
          <w:p>
            <w:r>
              <w:rPr>
                <w:sz w:val="16"/>
              </w:rPr>
              <w:t>0.793</w:t>
            </w:r>
          </w:p>
        </w:tc>
        <w:tc>
          <w:tcPr>
            <w:tcW w:type="dxa" w:w="1083"/>
            <w:vAlign w:val="center"/>
          </w:tcPr>
          <w:p>
            <w:r>
              <w:rPr>
                <w:sz w:val="16"/>
              </w:rPr>
              <w:t>0.814</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153</w:t>
            </w:r>
          </w:p>
        </w:tc>
        <w:tc>
          <w:tcPr>
            <w:tcW w:type="dxa" w:w="1083"/>
            <w:vAlign w:val="center"/>
          </w:tcPr>
          <w:p>
            <w:r>
              <w:rPr>
                <w:sz w:val="16"/>
              </w:rPr>
              <w:t>80</w:t>
            </w:r>
          </w:p>
        </w:tc>
        <w:tc>
          <w:tcPr>
            <w:tcW w:type="dxa" w:w="1083"/>
            <w:vAlign w:val="center"/>
          </w:tcPr>
          <w:p>
            <w:r>
              <w:rPr>
                <w:sz w:val="16"/>
              </w:rPr>
              <w:t>0.792</w:t>
            </w:r>
          </w:p>
        </w:tc>
        <w:tc>
          <w:tcPr>
            <w:tcW w:type="dxa" w:w="1083"/>
            <w:vAlign w:val="center"/>
          </w:tcPr>
          <w:p>
            <w:r>
              <w:rPr>
                <w:sz w:val="16"/>
              </w:rPr>
              <w:t>0.802</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IDH1</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375</w:t>
            </w:r>
          </w:p>
        </w:tc>
        <w:tc>
          <w:tcPr>
            <w:tcW w:type="dxa" w:w="1083"/>
            <w:vAlign w:val="center"/>
          </w:tcPr>
          <w:p>
            <w:r>
              <w:rPr>
                <w:sz w:val="16"/>
              </w:rPr>
              <w:t>0.786</w:t>
            </w:r>
          </w:p>
        </w:tc>
        <w:tc>
          <w:tcPr>
            <w:tcW w:type="dxa" w:w="1083"/>
            <w:vAlign w:val="center"/>
          </w:tcPr>
          <w:p>
            <w:r>
              <w:rPr>
                <w:sz w:val="16"/>
              </w:rPr>
              <w:t>0.933</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374</w:t>
            </w:r>
          </w:p>
        </w:tc>
        <w:tc>
          <w:tcPr>
            <w:tcW w:type="dxa" w:w="1083"/>
            <w:vAlign w:val="center"/>
          </w:tcPr>
          <w:p>
            <w:r>
              <w:rPr>
                <w:sz w:val="16"/>
              </w:rPr>
              <w:t>57</w:t>
            </w:r>
          </w:p>
        </w:tc>
        <w:tc>
          <w:tcPr>
            <w:tcW w:type="dxa" w:w="1083"/>
            <w:vAlign w:val="center"/>
          </w:tcPr>
          <w:p>
            <w:r>
              <w:rPr>
                <w:sz w:val="16"/>
              </w:rPr>
              <w:t>0.784</w:t>
            </w:r>
          </w:p>
        </w:tc>
        <w:tc>
          <w:tcPr>
            <w:tcW w:type="dxa" w:w="1083"/>
            <w:vAlign w:val="center"/>
          </w:tcPr>
          <w:p>
            <w:r>
              <w:rPr>
                <w:sz w:val="16"/>
              </w:rPr>
              <w:t>0.741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161</w:t>
            </w:r>
          </w:p>
        </w:tc>
        <w:tc>
          <w:tcPr>
            <w:tcW w:type="dxa" w:w="1083"/>
            <w:vAlign w:val="center"/>
          </w:tcPr>
          <w:p>
            <w:r>
              <w:rPr>
                <w:sz w:val="16"/>
              </w:rPr>
              <w:t>0.779</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CIC</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105</w:t>
            </w:r>
          </w:p>
        </w:tc>
        <w:tc>
          <w:tcPr>
            <w:tcW w:type="dxa" w:w="1083"/>
            <w:vAlign w:val="center"/>
          </w:tcPr>
          <w:p>
            <w:r>
              <w:rPr>
                <w:sz w:val="16"/>
              </w:rPr>
              <w:t>0.779</w:t>
            </w:r>
          </w:p>
        </w:tc>
        <w:tc>
          <w:tcPr>
            <w:tcW w:type="dxa" w:w="1083"/>
            <w:vAlign w:val="center"/>
          </w:tcPr>
          <w:p>
            <w:r>
              <w:rPr>
                <w:sz w:val="16"/>
              </w:rPr>
              <w:t>0.656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0.764</w:t>
            </w:r>
          </w:p>
        </w:tc>
        <w:tc>
          <w:tcPr>
            <w:tcW w:type="dxa" w:w="1083"/>
            <w:vAlign w:val="center"/>
          </w:tcPr>
          <w:p>
            <w:r>
              <w:rPr>
                <w:sz w:val="16"/>
              </w:rPr>
              <w:t>0.703</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ATRX</w:t>
            </w:r>
          </w:p>
        </w:tc>
        <w:tc>
          <w:tcPr>
            <w:tcW w:type="dxa" w:w="1083"/>
            <w:vAlign w:val="center"/>
          </w:tcPr>
          <w:p>
            <w:r>
              <w:rPr>
                <w:sz w:val="16"/>
              </w:rPr>
              <w:t>driver_mutation</w:t>
            </w:r>
          </w:p>
        </w:tc>
        <w:tc>
          <w:tcPr>
            <w:tcW w:type="dxa" w:w="1083"/>
            <w:vAlign w:val="center"/>
          </w:tcPr>
          <w:p>
            <w:r>
              <w:rPr>
                <w:sz w:val="16"/>
              </w:rPr>
              <w:t>485</w:t>
            </w:r>
          </w:p>
        </w:tc>
        <w:tc>
          <w:tcPr>
            <w:tcW w:type="dxa" w:w="1083"/>
            <w:vAlign w:val="center"/>
          </w:tcPr>
          <w:p>
            <w:r>
              <w:rPr>
                <w:sz w:val="16"/>
              </w:rPr>
              <w:t>181</w:t>
            </w:r>
          </w:p>
        </w:tc>
        <w:tc>
          <w:tcPr>
            <w:tcW w:type="dxa" w:w="1083"/>
            <w:vAlign w:val="center"/>
          </w:tcPr>
          <w:p>
            <w:r>
              <w:rPr>
                <w:sz w:val="16"/>
              </w:rPr>
              <w:t>0.761</w:t>
            </w:r>
          </w:p>
        </w:tc>
        <w:tc>
          <w:tcPr>
            <w:tcW w:type="dxa" w:w="1083"/>
            <w:vAlign w:val="center"/>
          </w:tcPr>
          <w:p>
            <w:r>
              <w:rPr>
                <w:sz w:val="16"/>
              </w:rPr>
              <w:t>0.737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468</w:t>
            </w:r>
          </w:p>
        </w:tc>
        <w:tc>
          <w:tcPr>
            <w:tcW w:type="dxa" w:w="1083"/>
            <w:vAlign w:val="center"/>
          </w:tcPr>
          <w:p>
            <w:r>
              <w:rPr>
                <w:sz w:val="16"/>
              </w:rPr>
              <w:t>218</w:t>
            </w:r>
          </w:p>
        </w:tc>
        <w:tc>
          <w:tcPr>
            <w:tcW w:type="dxa" w:w="1083"/>
            <w:vAlign w:val="center"/>
          </w:tcPr>
          <w:p>
            <w:r>
              <w:rPr>
                <w:sz w:val="16"/>
              </w:rPr>
              <w:t>0.754</w:t>
            </w:r>
          </w:p>
        </w:tc>
        <w:tc>
          <w:tcPr>
            <w:tcW w:type="dxa" w:w="1083"/>
            <w:vAlign w:val="center"/>
          </w:tcPr>
          <w:p>
            <w:r>
              <w:rPr>
                <w:sz w:val="16"/>
              </w:rPr>
              <w:t>0.792</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259</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391</w:t>
            </w:r>
          </w:p>
        </w:tc>
        <w:tc>
          <w:tcPr>
            <w:tcW w:type="dxa" w:w="1083"/>
            <w:vAlign w:val="center"/>
          </w:tcPr>
          <w:p>
            <w:r>
              <w:rPr>
                <w:sz w:val="16"/>
              </w:rPr>
              <w:t>74</w:t>
            </w:r>
          </w:p>
        </w:tc>
        <w:tc>
          <w:tcPr>
            <w:tcW w:type="dxa" w:w="1083"/>
            <w:vAlign w:val="center"/>
          </w:tcPr>
          <w:p>
            <w:r>
              <w:rPr>
                <w:sz w:val="16"/>
              </w:rPr>
              <w:t>0.744</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942</w:t>
            </w:r>
          </w:p>
        </w:tc>
        <w:tc>
          <w:tcPr>
            <w:tcW w:type="dxa" w:w="1083"/>
            <w:vAlign w:val="center"/>
          </w:tcPr>
          <w:p>
            <w:r>
              <w:rPr>
                <w:sz w:val="16"/>
              </w:rPr>
              <w:t>437</w:t>
            </w:r>
          </w:p>
        </w:tc>
        <w:tc>
          <w:tcPr>
            <w:tcW w:type="dxa" w:w="1083"/>
            <w:vAlign w:val="center"/>
          </w:tcPr>
          <w:p>
            <w:r>
              <w:rPr>
                <w:sz w:val="16"/>
              </w:rPr>
              <w:t>0.742</w:t>
            </w:r>
          </w:p>
        </w:tc>
        <w:tc>
          <w:tcPr>
            <w:tcW w:type="dxa" w:w="1083"/>
            <w:vAlign w:val="center"/>
          </w:tcPr>
          <w:p>
            <w:r>
              <w:rPr>
                <w:sz w:val="16"/>
              </w:rPr>
              <w:t>0.793</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403</w:t>
            </w:r>
          </w:p>
        </w:tc>
        <w:tc>
          <w:tcPr>
            <w:tcW w:type="dxa" w:w="1083"/>
            <w:vAlign w:val="center"/>
          </w:tcPr>
          <w:p>
            <w:r>
              <w:rPr>
                <w:sz w:val="16"/>
              </w:rPr>
              <w:t>0.740</w:t>
            </w:r>
          </w:p>
        </w:tc>
        <w:tc>
          <w:tcPr>
            <w:tcW w:type="dxa" w:w="1083"/>
            <w:vAlign w:val="center"/>
          </w:tcPr>
          <w:p>
            <w:r>
              <w:rPr>
                <w:sz w:val="16"/>
              </w:rPr>
              <w:t>0.940</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CDH1</w:t>
            </w:r>
          </w:p>
        </w:tc>
        <w:tc>
          <w:tcPr>
            <w:tcW w:type="dxa" w:w="1083"/>
            <w:vAlign w:val="center"/>
          </w:tcPr>
          <w:p>
            <w:r>
              <w:rPr>
                <w:sz w:val="16"/>
              </w:rPr>
              <w:t>driver_mutation</w:t>
            </w:r>
          </w:p>
        </w:tc>
        <w:tc>
          <w:tcPr>
            <w:tcW w:type="dxa" w:w="1083"/>
            <w:vAlign w:val="center"/>
          </w:tcPr>
          <w:p>
            <w:r>
              <w:rPr>
                <w:sz w:val="16"/>
              </w:rPr>
              <w:t>981</w:t>
            </w:r>
          </w:p>
        </w:tc>
        <w:tc>
          <w:tcPr>
            <w:tcW w:type="dxa" w:w="1083"/>
            <w:vAlign w:val="center"/>
          </w:tcPr>
          <w:p>
            <w:r>
              <w:rPr>
                <w:sz w:val="16"/>
              </w:rPr>
              <w:t>96</w:t>
            </w:r>
          </w:p>
        </w:tc>
        <w:tc>
          <w:tcPr>
            <w:tcW w:type="dxa" w:w="1083"/>
            <w:vAlign w:val="center"/>
          </w:tcPr>
          <w:p>
            <w:r>
              <w:rPr>
                <w:sz w:val="16"/>
              </w:rPr>
              <w:t>0.731</w:t>
            </w:r>
          </w:p>
        </w:tc>
        <w:tc>
          <w:tcPr>
            <w:tcW w:type="dxa" w:w="1083"/>
            <w:vAlign w:val="center"/>
          </w:tcPr>
          <w:p>
            <w:r>
              <w:rPr>
                <w:sz w:val="16"/>
              </w:rPr>
              <w:t>0.441</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131</w:t>
            </w:r>
          </w:p>
        </w:tc>
        <w:tc>
          <w:tcPr>
            <w:tcW w:type="dxa" w:w="1083"/>
            <w:vAlign w:val="center"/>
          </w:tcPr>
          <w:p>
            <w:r>
              <w:rPr>
                <w:sz w:val="16"/>
              </w:rPr>
              <w:t>0.729</w:t>
            </w:r>
          </w:p>
        </w:tc>
        <w:tc>
          <w:tcPr>
            <w:tcW w:type="dxa" w:w="1083"/>
            <w:vAlign w:val="center"/>
          </w:tcPr>
          <w:p>
            <w:r>
              <w:rPr>
                <w:sz w:val="16"/>
              </w:rPr>
              <w:t>0.567</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FGFR3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54</w:t>
            </w:r>
          </w:p>
        </w:tc>
        <w:tc>
          <w:tcPr>
            <w:tcW w:type="dxa" w:w="1083"/>
            <w:vAlign w:val="center"/>
          </w:tcPr>
          <w:p>
            <w:r>
              <w:rPr>
                <w:sz w:val="16"/>
              </w:rPr>
              <w:t>0.729</w:t>
            </w:r>
          </w:p>
        </w:tc>
        <w:tc>
          <w:tcPr>
            <w:tcW w:type="dxa" w:w="1083"/>
            <w:vAlign w:val="center"/>
          </w:tcPr>
          <w:p>
            <w:r>
              <w:rPr>
                <w:sz w:val="16"/>
              </w:rPr>
              <w:t>0.452</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371</w:t>
            </w:r>
          </w:p>
        </w:tc>
        <w:tc>
          <w:tcPr>
            <w:tcW w:type="dxa" w:w="1083"/>
            <w:vAlign w:val="center"/>
          </w:tcPr>
          <w:p>
            <w:r>
              <w:rPr>
                <w:sz w:val="16"/>
              </w:rPr>
              <w:t>63</w:t>
            </w:r>
          </w:p>
        </w:tc>
        <w:tc>
          <w:tcPr>
            <w:tcW w:type="dxa" w:w="1083"/>
            <w:vAlign w:val="center"/>
          </w:tcPr>
          <w:p>
            <w:r>
              <w:rPr>
                <w:sz w:val="16"/>
              </w:rPr>
              <w:t>0.728</w:t>
            </w:r>
          </w:p>
        </w:tc>
        <w:tc>
          <w:tcPr>
            <w:tcW w:type="dxa" w:w="1083"/>
            <w:vAlign w:val="center"/>
          </w:tcPr>
          <w:p>
            <w:r>
              <w:rPr>
                <w:sz w:val="16"/>
              </w:rPr>
              <w:t>0.591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PTEN</w:t>
            </w:r>
          </w:p>
        </w:tc>
        <w:tc>
          <w:tcPr>
            <w:tcW w:type="dxa" w:w="1083"/>
            <w:vAlign w:val="center"/>
          </w:tcPr>
          <w:p>
            <w:r>
              <w:rPr>
                <w:sz w:val="16"/>
              </w:rPr>
              <w:t>driver_mutation</w:t>
            </w:r>
          </w:p>
        </w:tc>
        <w:tc>
          <w:tcPr>
            <w:tcW w:type="dxa" w:w="1083"/>
            <w:vAlign w:val="center"/>
          </w:tcPr>
          <w:p>
            <w:r>
              <w:rPr>
                <w:sz w:val="16"/>
              </w:rPr>
              <w:t>487</w:t>
            </w:r>
          </w:p>
        </w:tc>
        <w:tc>
          <w:tcPr>
            <w:tcW w:type="dxa" w:w="1083"/>
            <w:vAlign w:val="center"/>
          </w:tcPr>
          <w:p>
            <w:r>
              <w:rPr>
                <w:sz w:val="16"/>
              </w:rPr>
              <w:t>261</w:t>
            </w:r>
          </w:p>
        </w:tc>
        <w:tc>
          <w:tcPr>
            <w:tcW w:type="dxa" w:w="1083"/>
            <w:vAlign w:val="center"/>
          </w:tcPr>
          <w:p>
            <w:r>
              <w:rPr>
                <w:sz w:val="16"/>
              </w:rPr>
              <w:t>0.726</w:t>
            </w:r>
          </w:p>
        </w:tc>
        <w:tc>
          <w:tcPr>
            <w:tcW w:type="dxa" w:w="1083"/>
            <w:vAlign w:val="center"/>
          </w:tcPr>
          <w:p>
            <w:r>
              <w:rPr>
                <w:sz w:val="16"/>
              </w:rPr>
              <w:t>0.784</w:t>
            </w:r>
          </w:p>
        </w:tc>
        <w:tc>
          <w:tcPr>
            <w:tcW w:type="dxa" w:w="1083"/>
            <w:vAlign w:val="center"/>
          </w:tcPr>
          <w:p>
            <w:r>
              <w:rPr>
                <w:sz w:val="16"/>
              </w:rPr>
              <w:t>0.016</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364</w:t>
            </w:r>
          </w:p>
        </w:tc>
        <w:tc>
          <w:tcPr>
            <w:tcW w:type="dxa" w:w="1083"/>
            <w:vAlign w:val="center"/>
          </w:tcPr>
          <w:p>
            <w:r>
              <w:rPr>
                <w:sz w:val="16"/>
              </w:rPr>
              <w:t>56</w:t>
            </w:r>
          </w:p>
        </w:tc>
        <w:tc>
          <w:tcPr>
            <w:tcW w:type="dxa" w:w="1083"/>
            <w:vAlign w:val="center"/>
          </w:tcPr>
          <w:p>
            <w:r>
              <w:rPr>
                <w:sz w:val="16"/>
              </w:rPr>
              <w:t>0.713</w:t>
            </w:r>
          </w:p>
        </w:tc>
        <w:tc>
          <w:tcPr>
            <w:tcW w:type="dxa" w:w="1083"/>
            <w:vAlign w:val="center"/>
          </w:tcPr>
          <w:p>
            <w:r>
              <w:rPr>
                <w:sz w:val="16"/>
              </w:rPr>
              <w:t>0.540</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477</w:t>
            </w:r>
          </w:p>
        </w:tc>
        <w:tc>
          <w:tcPr>
            <w:tcW w:type="dxa" w:w="1083"/>
            <w:vAlign w:val="center"/>
          </w:tcPr>
          <w:p>
            <w:r>
              <w:rPr>
                <w:sz w:val="16"/>
              </w:rPr>
              <w:t>97</w:t>
            </w:r>
          </w:p>
        </w:tc>
        <w:tc>
          <w:tcPr>
            <w:tcW w:type="dxa" w:w="1083"/>
            <w:vAlign w:val="center"/>
          </w:tcPr>
          <w:p>
            <w:r>
              <w:rPr>
                <w:sz w:val="16"/>
              </w:rPr>
              <w:t>0.707</w:t>
            </w:r>
          </w:p>
        </w:tc>
        <w:tc>
          <w:tcPr>
            <w:tcW w:type="dxa" w:w="1083"/>
            <w:vAlign w:val="center"/>
          </w:tcPr>
          <w:p>
            <w:r>
              <w:rPr>
                <w:sz w:val="16"/>
              </w:rPr>
              <w:t>0.577</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NRAS</w:t>
            </w:r>
          </w:p>
        </w:tc>
        <w:tc>
          <w:tcPr>
            <w:tcW w:type="dxa" w:w="1083"/>
            <w:vAlign w:val="center"/>
          </w:tcPr>
          <w:p>
            <w:r>
              <w:rPr>
                <w:sz w:val="16"/>
              </w:rPr>
              <w:t>driver_mutation</w:t>
            </w:r>
          </w:p>
        </w:tc>
        <w:tc>
          <w:tcPr>
            <w:tcW w:type="dxa" w:w="1083"/>
            <w:vAlign w:val="center"/>
          </w:tcPr>
          <w:p>
            <w:r>
              <w:rPr>
                <w:sz w:val="16"/>
              </w:rPr>
              <w:t>490</w:t>
            </w:r>
          </w:p>
        </w:tc>
        <w:tc>
          <w:tcPr>
            <w:tcW w:type="dxa" w:w="1083"/>
            <w:vAlign w:val="center"/>
          </w:tcPr>
          <w:p>
            <w:r>
              <w:rPr>
                <w:sz w:val="16"/>
              </w:rPr>
              <w:t>39</w:t>
            </w:r>
          </w:p>
        </w:tc>
        <w:tc>
          <w:tcPr>
            <w:tcW w:type="dxa" w:w="1083"/>
            <w:vAlign w:val="center"/>
          </w:tcPr>
          <w:p>
            <w:r>
              <w:rPr>
                <w:sz w:val="16"/>
              </w:rPr>
              <w:t>0.703</w:t>
            </w:r>
          </w:p>
        </w:tc>
        <w:tc>
          <w:tcPr>
            <w:tcW w:type="dxa" w:w="1083"/>
            <w:vAlign w:val="center"/>
          </w:tcPr>
          <w:p>
            <w:r>
              <w:rPr>
                <w:sz w:val="16"/>
              </w:rPr>
              <w:t>0.404</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THCA</w:t>
            </w:r>
          </w:p>
        </w:tc>
        <w:tc>
          <w:tcPr>
            <w:tcW w:type="dxa" w:w="1083"/>
            <w:vAlign w:val="center"/>
          </w:tcPr>
          <w:p>
            <w:r>
              <w:rPr>
                <w:sz w:val="16"/>
              </w:rPr>
              <w:t>WNT</w:t>
            </w:r>
          </w:p>
        </w:tc>
        <w:tc>
          <w:tcPr>
            <w:tcW w:type="dxa" w:w="1083"/>
            <w:vAlign w:val="center"/>
          </w:tcPr>
          <w:p>
            <w:r>
              <w:rPr>
                <w:sz w:val="16"/>
              </w:rPr>
              <w:t>oncogenic_pathway</w:t>
            </w:r>
          </w:p>
        </w:tc>
        <w:tc>
          <w:tcPr>
            <w:tcW w:type="dxa" w:w="1083"/>
            <w:vAlign w:val="center"/>
          </w:tcPr>
          <w:p>
            <w:r>
              <w:rPr>
                <w:sz w:val="16"/>
              </w:rPr>
              <w:t>478</w:t>
            </w:r>
          </w:p>
        </w:tc>
        <w:tc>
          <w:tcPr>
            <w:tcW w:type="dxa" w:w="1083"/>
            <w:vAlign w:val="center"/>
          </w:tcPr>
          <w:p>
            <w:r>
              <w:rPr>
                <w:sz w:val="16"/>
              </w:rPr>
              <w:t>62</w:t>
            </w:r>
          </w:p>
        </w:tc>
        <w:tc>
          <w:tcPr>
            <w:tcW w:type="dxa" w:w="1083"/>
            <w:vAlign w:val="center"/>
          </w:tcPr>
          <w:p>
            <w:r>
              <w:rPr>
                <w:sz w:val="16"/>
              </w:rPr>
              <w:t>0.700</w:t>
            </w:r>
          </w:p>
        </w:tc>
        <w:tc>
          <w:tcPr>
            <w:tcW w:type="dxa" w:w="1083"/>
            <w:vAlign w:val="center"/>
          </w:tcPr>
          <w:p>
            <w:r>
              <w:rPr>
                <w:sz w:val="16"/>
              </w:rPr>
              <w:t>0.385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463</w:t>
            </w:r>
          </w:p>
        </w:tc>
        <w:tc>
          <w:tcPr>
            <w:tcW w:type="dxa" w:w="1083"/>
            <w:vAlign w:val="center"/>
          </w:tcPr>
          <w:p>
            <w:r>
              <w:rPr>
                <w:sz w:val="16"/>
              </w:rPr>
              <w:t>234</w:t>
            </w:r>
          </w:p>
        </w:tc>
        <w:tc>
          <w:tcPr>
            <w:tcW w:type="dxa" w:w="1083"/>
            <w:vAlign w:val="center"/>
          </w:tcPr>
          <w:p>
            <w:r>
              <w:rPr>
                <w:sz w:val="16"/>
              </w:rPr>
              <w:t>0.699</w:t>
            </w:r>
          </w:p>
        </w:tc>
        <w:tc>
          <w:tcPr>
            <w:tcW w:type="dxa" w:w="1083"/>
            <w:vAlign w:val="center"/>
          </w:tcPr>
          <w:p>
            <w:r>
              <w:rPr>
                <w:sz w:val="16"/>
              </w:rPr>
              <w:t>0.736</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BRCA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998</w:t>
            </w:r>
          </w:p>
        </w:tc>
        <w:tc>
          <w:tcPr>
            <w:tcW w:type="dxa" w:w="1083"/>
            <w:vAlign w:val="center"/>
          </w:tcPr>
          <w:p>
            <w:r>
              <w:rPr>
                <w:sz w:val="16"/>
              </w:rPr>
              <w:t>438</w:t>
            </w:r>
          </w:p>
        </w:tc>
        <w:tc>
          <w:tcPr>
            <w:tcW w:type="dxa" w:w="1083"/>
            <w:vAlign w:val="center"/>
          </w:tcPr>
          <w:p>
            <w:r>
              <w:rPr>
                <w:sz w:val="16"/>
              </w:rPr>
              <w:t>0.699</w:t>
            </w:r>
          </w:p>
        </w:tc>
        <w:tc>
          <w:tcPr>
            <w:tcW w:type="dxa" w:w="1083"/>
            <w:vAlign w:val="center"/>
          </w:tcPr>
          <w:p>
            <w:r>
              <w:rPr>
                <w:sz w:val="16"/>
              </w:rPr>
              <w:t>0.709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LUAD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451</w:t>
            </w:r>
          </w:p>
        </w:tc>
        <w:tc>
          <w:tcPr>
            <w:tcW w:type="dxa" w:w="1083"/>
            <w:vAlign w:val="center"/>
          </w:tcPr>
          <w:p>
            <w:r>
              <w:rPr>
                <w:sz w:val="16"/>
              </w:rPr>
              <w:t>274</w:t>
            </w:r>
          </w:p>
        </w:tc>
        <w:tc>
          <w:tcPr>
            <w:tcW w:type="dxa" w:w="1083"/>
            <w:vAlign w:val="center"/>
          </w:tcPr>
          <w:p>
            <w:r>
              <w:rPr>
                <w:sz w:val="16"/>
              </w:rPr>
              <w:t>0.699</w:t>
            </w:r>
          </w:p>
        </w:tc>
        <w:tc>
          <w:tcPr>
            <w:tcW w:type="dxa" w:w="1083"/>
            <w:vAlign w:val="center"/>
          </w:tcPr>
          <w:p>
            <w:r>
              <w:rPr>
                <w:sz w:val="16"/>
              </w:rPr>
              <w:t>0.756</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KIRP</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243</w:t>
            </w:r>
          </w:p>
        </w:tc>
        <w:tc>
          <w:tcPr>
            <w:tcW w:type="dxa" w:w="1083"/>
            <w:vAlign w:val="center"/>
          </w:tcPr>
          <w:p>
            <w:r>
              <w:rPr>
                <w:sz w:val="16"/>
              </w:rPr>
              <w:t>31</w:t>
            </w:r>
          </w:p>
        </w:tc>
        <w:tc>
          <w:tcPr>
            <w:tcW w:type="dxa" w:w="1083"/>
            <w:vAlign w:val="center"/>
          </w:tcPr>
          <w:p>
            <w:r>
              <w:rPr>
                <w:sz w:val="16"/>
              </w:rPr>
              <w:t>0.698</w:t>
            </w:r>
          </w:p>
        </w:tc>
        <w:tc>
          <w:tcPr>
            <w:tcW w:type="dxa" w:w="1083"/>
            <w:vAlign w:val="center"/>
          </w:tcPr>
          <w:p>
            <w:r>
              <w:rPr>
                <w:sz w:val="16"/>
              </w:rPr>
              <w:t>0.547</w:t>
            </w:r>
          </w:p>
        </w:tc>
        <w:tc>
          <w:tcPr>
            <w:tcW w:type="dxa" w:w="1083"/>
            <w:vAlign w:val="center"/>
          </w:tcPr>
          <w:p>
            <w:r>
              <w:rPr>
                <w:sz w:val="16"/>
              </w:rPr>
              <w:t>0.006</w:t>
            </w:r>
          </w:p>
        </w:tc>
        <w:tc>
          <w:tcPr>
            <w:tcW w:type="dxa" w:w="1083"/>
            <w:vAlign w:val="center"/>
          </w:tcPr>
          <w:p>
            <w:r>
              <w:rPr>
                <w:sz w:val="16"/>
              </w:rPr>
              <w:t>exploratory/limited; excluded</w:t>
            </w:r>
          </w:p>
        </w:tc>
      </w:tr>
      <w:tr>
        <w:trPr>
          <w:cantSplit/>
        </w:trPr>
        <w:tc>
          <w:tcPr>
            <w:tcW w:type="dxa" w:w="1083"/>
            <w:vAlign w:val="center"/>
          </w:tcPr>
          <w:p>
            <w:r>
              <w:rPr>
                <w:sz w:val="16"/>
              </w:rPr>
              <w:t>LGG</w:t>
            </w:r>
          </w:p>
        </w:tc>
        <w:tc>
          <w:tcPr>
            <w:tcW w:type="dxa" w:w="1083"/>
            <w:vAlign w:val="center"/>
          </w:tcPr>
          <w:p>
            <w:r>
              <w:rPr>
                <w:sz w:val="16"/>
              </w:rPr>
              <w:t>Any called fusion</w:t>
            </w:r>
          </w:p>
        </w:tc>
        <w:tc>
          <w:tcPr>
            <w:tcW w:type="dxa" w:w="1083"/>
            <w:vAlign w:val="center"/>
          </w:tcPr>
          <w:p>
            <w:r>
              <w:rPr>
                <w:sz w:val="16"/>
              </w:rPr>
              <w:t>fusion</w:t>
            </w:r>
          </w:p>
        </w:tc>
        <w:tc>
          <w:tcPr>
            <w:tcW w:type="dxa" w:w="1083"/>
            <w:vAlign w:val="center"/>
          </w:tcPr>
          <w:p>
            <w:r>
              <w:rPr>
                <w:sz w:val="16"/>
              </w:rPr>
              <w:t>487</w:t>
            </w:r>
          </w:p>
        </w:tc>
        <w:tc>
          <w:tcPr>
            <w:tcW w:type="dxa" w:w="1083"/>
            <w:vAlign w:val="center"/>
          </w:tcPr>
          <w:p>
            <w:r>
              <w:rPr>
                <w:sz w:val="16"/>
              </w:rPr>
              <w:t>236</w:t>
            </w:r>
          </w:p>
        </w:tc>
        <w:tc>
          <w:tcPr>
            <w:tcW w:type="dxa" w:w="1083"/>
            <w:vAlign w:val="center"/>
          </w:tcPr>
          <w:p>
            <w:r>
              <w:rPr>
                <w:sz w:val="16"/>
              </w:rPr>
              <w:t>0.695</w:t>
            </w:r>
          </w:p>
        </w:tc>
        <w:tc>
          <w:tcPr>
            <w:tcW w:type="dxa" w:w="1083"/>
            <w:vAlign w:val="center"/>
          </w:tcPr>
          <w:p>
            <w:r>
              <w:rPr>
                <w:sz w:val="16"/>
              </w:rPr>
              <w:t>0.739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158</w:t>
            </w:r>
          </w:p>
        </w:tc>
        <w:tc>
          <w:tcPr>
            <w:tcW w:type="dxa" w:w="1083"/>
            <w:vAlign w:val="center"/>
          </w:tcPr>
          <w:p>
            <w:r>
              <w:rPr>
                <w:sz w:val="16"/>
              </w:rPr>
              <w:t>52</w:t>
            </w:r>
          </w:p>
        </w:tc>
        <w:tc>
          <w:tcPr>
            <w:tcW w:type="dxa" w:w="1083"/>
            <w:vAlign w:val="center"/>
          </w:tcPr>
          <w:p>
            <w:r>
              <w:rPr>
                <w:sz w:val="16"/>
              </w:rPr>
              <w:t>0.694</w:t>
            </w:r>
          </w:p>
        </w:tc>
        <w:tc>
          <w:tcPr>
            <w:tcW w:type="dxa" w:w="1083"/>
            <w:vAlign w:val="center"/>
          </w:tcPr>
          <w:p>
            <w:r>
              <w:rPr>
                <w:sz w:val="16"/>
              </w:rPr>
              <w:t>0.524</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TGCT</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143</w:t>
            </w:r>
          </w:p>
        </w:tc>
        <w:tc>
          <w:tcPr>
            <w:tcW w:type="dxa" w:w="1083"/>
            <w:vAlign w:val="center"/>
          </w:tcPr>
          <w:p>
            <w:r>
              <w:rPr>
                <w:sz w:val="16"/>
              </w:rPr>
              <w:t>54</w:t>
            </w:r>
          </w:p>
        </w:tc>
        <w:tc>
          <w:tcPr>
            <w:tcW w:type="dxa" w:w="1083"/>
            <w:vAlign w:val="center"/>
          </w:tcPr>
          <w:p>
            <w:r>
              <w:rPr>
                <w:sz w:val="16"/>
              </w:rPr>
              <w:t>0.693</w:t>
            </w:r>
          </w:p>
        </w:tc>
        <w:tc>
          <w:tcPr>
            <w:tcW w:type="dxa" w:w="1083"/>
            <w:vAlign w:val="center"/>
          </w:tcPr>
          <w:p>
            <w:r>
              <w:rPr>
                <w:sz w:val="16"/>
              </w:rPr>
              <w:t>0.634</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LGG</w:t>
            </w:r>
          </w:p>
        </w:tc>
        <w:tc>
          <w:tcPr>
            <w:tcW w:type="dxa" w:w="1083"/>
            <w:vAlign w:val="center"/>
          </w:tcPr>
          <w:p>
            <w:r>
              <w:rPr>
                <w:sz w:val="16"/>
              </w:rPr>
              <w:t>RTK RAS</w:t>
            </w:r>
          </w:p>
        </w:tc>
        <w:tc>
          <w:tcPr>
            <w:tcW w:type="dxa" w:w="1083"/>
            <w:vAlign w:val="center"/>
          </w:tcPr>
          <w:p>
            <w:r>
              <w:rPr>
                <w:sz w:val="16"/>
              </w:rPr>
              <w:t>oncogenic_pathway</w:t>
            </w:r>
          </w:p>
        </w:tc>
        <w:tc>
          <w:tcPr>
            <w:tcW w:type="dxa" w:w="1083"/>
            <w:vAlign w:val="center"/>
          </w:tcPr>
          <w:p>
            <w:r>
              <w:rPr>
                <w:sz w:val="16"/>
              </w:rPr>
              <w:t>481</w:t>
            </w:r>
          </w:p>
        </w:tc>
        <w:tc>
          <w:tcPr>
            <w:tcW w:type="dxa" w:w="1083"/>
            <w:vAlign w:val="center"/>
          </w:tcPr>
          <w:p>
            <w:r>
              <w:rPr>
                <w:sz w:val="16"/>
              </w:rPr>
              <w:t>135</w:t>
            </w:r>
          </w:p>
        </w:tc>
        <w:tc>
          <w:tcPr>
            <w:tcW w:type="dxa" w:w="1083"/>
            <w:vAlign w:val="center"/>
          </w:tcPr>
          <w:p>
            <w:r>
              <w:rPr>
                <w:sz w:val="16"/>
              </w:rPr>
              <w:t>0.692</w:t>
            </w:r>
          </w:p>
        </w:tc>
        <w:tc>
          <w:tcPr>
            <w:tcW w:type="dxa" w:w="1083"/>
            <w:vAlign w:val="center"/>
          </w:tcPr>
          <w:p>
            <w:r>
              <w:rPr>
                <w:sz w:val="16"/>
              </w:rPr>
              <w:t>0.622</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376</w:t>
            </w:r>
          </w:p>
        </w:tc>
        <w:tc>
          <w:tcPr>
            <w:tcW w:type="dxa" w:w="1083"/>
            <w:vAlign w:val="center"/>
          </w:tcPr>
          <w:p>
            <w:r>
              <w:rPr>
                <w:sz w:val="16"/>
              </w:rPr>
              <w:t>228</w:t>
            </w:r>
          </w:p>
        </w:tc>
        <w:tc>
          <w:tcPr>
            <w:tcW w:type="dxa" w:w="1083"/>
            <w:vAlign w:val="center"/>
          </w:tcPr>
          <w:p>
            <w:r>
              <w:rPr>
                <w:sz w:val="16"/>
              </w:rPr>
              <w:t>0.691</w:t>
            </w:r>
          </w:p>
        </w:tc>
        <w:tc>
          <w:tcPr>
            <w:tcW w:type="dxa" w:w="1083"/>
            <w:vAlign w:val="center"/>
          </w:tcPr>
          <w:p>
            <w:r>
              <w:rPr>
                <w:sz w:val="16"/>
              </w:rPr>
              <w:t>0.775</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408</w:t>
            </w:r>
          </w:p>
        </w:tc>
        <w:tc>
          <w:tcPr>
            <w:tcW w:type="dxa" w:w="1083"/>
            <w:vAlign w:val="center"/>
          </w:tcPr>
          <w:p>
            <w:r>
              <w:rPr>
                <w:sz w:val="16"/>
              </w:rPr>
              <w:t>165</w:t>
            </w:r>
          </w:p>
        </w:tc>
        <w:tc>
          <w:tcPr>
            <w:tcW w:type="dxa" w:w="1083"/>
            <w:vAlign w:val="center"/>
          </w:tcPr>
          <w:p>
            <w:r>
              <w:rPr>
                <w:sz w:val="16"/>
              </w:rPr>
              <w:t>0.691</w:t>
            </w:r>
          </w:p>
        </w:tc>
        <w:tc>
          <w:tcPr>
            <w:tcW w:type="dxa" w:w="1083"/>
            <w:vAlign w:val="center"/>
          </w:tcPr>
          <w:p>
            <w:r>
              <w:rPr>
                <w:sz w:val="16"/>
              </w:rPr>
              <w:t>0.678</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71</w:t>
            </w:r>
          </w:p>
        </w:tc>
        <w:tc>
          <w:tcPr>
            <w:tcW w:type="dxa" w:w="1083"/>
            <w:vAlign w:val="center"/>
          </w:tcPr>
          <w:p>
            <w:r>
              <w:rPr>
                <w:sz w:val="16"/>
              </w:rPr>
              <w:t>38</w:t>
            </w:r>
          </w:p>
        </w:tc>
        <w:tc>
          <w:tcPr>
            <w:tcW w:type="dxa" w:w="1083"/>
            <w:vAlign w:val="center"/>
          </w:tcPr>
          <w:p>
            <w:r>
              <w:rPr>
                <w:sz w:val="16"/>
              </w:rPr>
              <w:t>0.691</w:t>
            </w:r>
          </w:p>
        </w:tc>
        <w:tc>
          <w:tcPr>
            <w:tcW w:type="dxa" w:w="1083"/>
            <w:vAlign w:val="center"/>
          </w:tcPr>
          <w:p>
            <w:r>
              <w:rPr>
                <w:sz w:val="16"/>
              </w:rPr>
              <w:t>0.719</w:t>
            </w:r>
          </w:p>
        </w:tc>
        <w:tc>
          <w:tcPr>
            <w:tcW w:type="dxa" w:w="1083"/>
            <w:vAlign w:val="center"/>
          </w:tcPr>
          <w:p>
            <w:r>
              <w:rPr>
                <w:sz w:val="16"/>
              </w:rPr>
              <w:t>0.008</w:t>
            </w:r>
          </w:p>
        </w:tc>
        <w:tc>
          <w:tcPr>
            <w:tcW w:type="dxa" w:w="1083"/>
            <w:vAlign w:val="center"/>
          </w:tcPr>
          <w:p>
            <w:r>
              <w:rPr>
                <w:sz w:val="16"/>
              </w:rPr>
              <w:t>exploratory/limited; excluded</w:t>
            </w:r>
          </w:p>
        </w:tc>
      </w:tr>
      <w:tr>
        <w:trPr>
          <w:cantSplit/>
        </w:trPr>
        <w:tc>
          <w:tcPr>
            <w:tcW w:type="dxa" w:w="1083"/>
            <w:vAlign w:val="center"/>
          </w:tcPr>
          <w:p>
            <w:r>
              <w:rPr>
                <w:sz w:val="16"/>
              </w:rPr>
              <w:t>LUAD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449</w:t>
            </w:r>
          </w:p>
        </w:tc>
        <w:tc>
          <w:tcPr>
            <w:tcW w:type="dxa" w:w="1083"/>
            <w:vAlign w:val="center"/>
          </w:tcPr>
          <w:p>
            <w:r>
              <w:rPr>
                <w:sz w:val="16"/>
              </w:rPr>
              <w:t>264</w:t>
            </w:r>
          </w:p>
        </w:tc>
        <w:tc>
          <w:tcPr>
            <w:tcW w:type="dxa" w:w="1083"/>
            <w:vAlign w:val="center"/>
          </w:tcPr>
          <w:p>
            <w:r>
              <w:rPr>
                <w:sz w:val="16"/>
              </w:rPr>
              <w:t>0.687</w:t>
            </w:r>
          </w:p>
        </w:tc>
        <w:tc>
          <w:tcPr>
            <w:tcW w:type="dxa" w:w="1083"/>
            <w:vAlign w:val="center"/>
          </w:tcPr>
          <w:p>
            <w:r>
              <w:rPr>
                <w:sz w:val="16"/>
              </w:rPr>
              <w:t>0.761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155</w:t>
            </w:r>
          </w:p>
        </w:tc>
        <w:tc>
          <w:tcPr>
            <w:tcW w:type="dxa" w:w="1083"/>
            <w:vAlign w:val="center"/>
          </w:tcPr>
          <w:p>
            <w:r>
              <w:rPr>
                <w:sz w:val="16"/>
              </w:rPr>
              <w:t>23</w:t>
            </w:r>
          </w:p>
        </w:tc>
        <w:tc>
          <w:tcPr>
            <w:tcW w:type="dxa" w:w="1083"/>
            <w:vAlign w:val="center"/>
          </w:tcPr>
          <w:p>
            <w:r>
              <w:rPr>
                <w:sz w:val="16"/>
              </w:rPr>
              <w:t>0.686</w:t>
            </w:r>
          </w:p>
        </w:tc>
        <w:tc>
          <w:tcPr>
            <w:tcW w:type="dxa" w:w="1083"/>
            <w:vAlign w:val="center"/>
          </w:tcPr>
          <w:p>
            <w:r>
              <w:rPr>
                <w:sz w:val="16"/>
              </w:rPr>
              <w:t>0.446</w:t>
            </w:r>
          </w:p>
        </w:tc>
        <w:tc>
          <w:tcPr>
            <w:tcW w:type="dxa" w:w="1083"/>
            <w:vAlign w:val="center"/>
          </w:tcPr>
          <w:p>
            <w:r>
              <w:rPr>
                <w:sz w:val="16"/>
              </w:rPr>
              <w:t>0.002</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360</w:t>
            </w:r>
          </w:p>
        </w:tc>
        <w:tc>
          <w:tcPr>
            <w:tcW w:type="dxa" w:w="1083"/>
            <w:vAlign w:val="center"/>
          </w:tcPr>
          <w:p>
            <w:r>
              <w:rPr>
                <w:sz w:val="16"/>
              </w:rPr>
              <w:t>154</w:t>
            </w:r>
          </w:p>
        </w:tc>
        <w:tc>
          <w:tcPr>
            <w:tcW w:type="dxa" w:w="1083"/>
            <w:vAlign w:val="center"/>
          </w:tcPr>
          <w:p>
            <w:r>
              <w:rPr>
                <w:sz w:val="16"/>
              </w:rPr>
              <w:t>0.681</w:t>
            </w:r>
          </w:p>
        </w:tc>
        <w:tc>
          <w:tcPr>
            <w:tcW w:type="dxa" w:w="1083"/>
            <w:vAlign w:val="center"/>
          </w:tcPr>
          <w:p>
            <w:r>
              <w:rPr>
                <w:sz w:val="16"/>
              </w:rPr>
              <w:t>0.679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THCA</w:t>
            </w:r>
          </w:p>
        </w:tc>
        <w:tc>
          <w:tcPr>
            <w:tcW w:type="dxa" w:w="1083"/>
            <w:vAlign w:val="center"/>
          </w:tcPr>
          <w:p>
            <w:r>
              <w:rPr>
                <w:sz w:val="16"/>
              </w:rPr>
              <w:t>Fusion pair: CCDC6--RET</w:t>
            </w:r>
          </w:p>
        </w:tc>
        <w:tc>
          <w:tcPr>
            <w:tcW w:type="dxa" w:w="1083"/>
            <w:vAlign w:val="center"/>
          </w:tcPr>
          <w:p>
            <w:r>
              <w:rPr>
                <w:sz w:val="16"/>
              </w:rPr>
              <w:t>fusion</w:t>
            </w:r>
          </w:p>
        </w:tc>
        <w:tc>
          <w:tcPr>
            <w:tcW w:type="dxa" w:w="1083"/>
            <w:vAlign w:val="center"/>
          </w:tcPr>
          <w:p>
            <w:r>
              <w:rPr>
                <w:sz w:val="16"/>
              </w:rPr>
              <w:t>502</w:t>
            </w:r>
          </w:p>
        </w:tc>
        <w:tc>
          <w:tcPr>
            <w:tcW w:type="dxa" w:w="1083"/>
            <w:vAlign w:val="center"/>
          </w:tcPr>
          <w:p>
            <w:r>
              <w:rPr>
                <w:sz w:val="16"/>
              </w:rPr>
              <w:t>21</w:t>
            </w:r>
          </w:p>
        </w:tc>
        <w:tc>
          <w:tcPr>
            <w:tcW w:type="dxa" w:w="1083"/>
            <w:vAlign w:val="center"/>
          </w:tcPr>
          <w:p>
            <w:r>
              <w:rPr>
                <w:sz w:val="16"/>
              </w:rPr>
              <w:t>0.681</w:t>
            </w:r>
          </w:p>
        </w:tc>
        <w:tc>
          <w:tcPr>
            <w:tcW w:type="dxa" w:w="1083"/>
            <w:vAlign w:val="center"/>
          </w:tcPr>
          <w:p>
            <w:r>
              <w:rPr>
                <w:sz w:val="16"/>
              </w:rPr>
              <w:t>0.389</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COAD</w:t>
            </w:r>
          </w:p>
        </w:tc>
        <w:tc>
          <w:tcPr>
            <w:tcW w:type="dxa" w:w="1083"/>
            <w:vAlign w:val="center"/>
          </w:tcPr>
          <w:p>
            <w:r>
              <w:rPr>
                <w:sz w:val="16"/>
              </w:rPr>
              <w:t>KRAS</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126</w:t>
            </w:r>
          </w:p>
        </w:tc>
        <w:tc>
          <w:tcPr>
            <w:tcW w:type="dxa" w:w="1083"/>
            <w:vAlign w:val="center"/>
          </w:tcPr>
          <w:p>
            <w:r>
              <w:rPr>
                <w:sz w:val="16"/>
              </w:rPr>
              <w:t>0.680</w:t>
            </w:r>
          </w:p>
        </w:tc>
        <w:tc>
          <w:tcPr>
            <w:tcW w:type="dxa" w:w="1083"/>
            <w:vAlign w:val="center"/>
          </w:tcPr>
          <w:p>
            <w:r>
              <w:rPr>
                <w:sz w:val="16"/>
              </w:rPr>
              <w:t>0.581</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96</w:t>
            </w:r>
          </w:p>
        </w:tc>
        <w:tc>
          <w:tcPr>
            <w:tcW w:type="dxa" w:w="1083"/>
            <w:vAlign w:val="center"/>
          </w:tcPr>
          <w:p>
            <w:r>
              <w:rPr>
                <w:sz w:val="16"/>
              </w:rPr>
              <w:t>66</w:t>
            </w:r>
          </w:p>
        </w:tc>
        <w:tc>
          <w:tcPr>
            <w:tcW w:type="dxa" w:w="1083"/>
            <w:vAlign w:val="center"/>
          </w:tcPr>
          <w:p>
            <w:r>
              <w:rPr>
                <w:sz w:val="16"/>
              </w:rPr>
              <w:t>0.677</w:t>
            </w:r>
          </w:p>
        </w:tc>
        <w:tc>
          <w:tcPr>
            <w:tcW w:type="dxa" w:w="1083"/>
            <w:vAlign w:val="center"/>
          </w:tcPr>
          <w:p>
            <w:r>
              <w:rPr>
                <w:sz w:val="16"/>
              </w:rPr>
              <w:t>0.841</w:t>
            </w:r>
          </w:p>
        </w:tc>
        <w:tc>
          <w:tcPr>
            <w:tcW w:type="dxa" w:w="1083"/>
            <w:vAlign w:val="center"/>
          </w:tcPr>
          <w:p>
            <w:r>
              <w:rPr>
                <w:sz w:val="16"/>
              </w:rPr>
              <w:t>0.001</w:t>
            </w:r>
          </w:p>
        </w:tc>
        <w:tc>
          <w:tcPr>
            <w:tcW w:type="dxa" w:w="1083"/>
            <w:vAlign w:val="center"/>
          </w:tcPr>
          <w:p>
            <w:r>
              <w:rPr>
                <w:sz w:val="16"/>
              </w:rPr>
              <w:t>exploratory/limited; excluded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371</w:t>
            </w:r>
          </w:p>
        </w:tc>
        <w:tc>
          <w:tcPr>
            <w:tcW w:type="dxa" w:w="1083"/>
            <w:vAlign w:val="center"/>
          </w:tcPr>
          <w:p>
            <w:r>
              <w:rPr>
                <w:sz w:val="16"/>
              </w:rPr>
              <w:t>179</w:t>
            </w:r>
          </w:p>
        </w:tc>
        <w:tc>
          <w:tcPr>
            <w:tcW w:type="dxa" w:w="1083"/>
            <w:vAlign w:val="center"/>
          </w:tcPr>
          <w:p>
            <w:r>
              <w:rPr>
                <w:sz w:val="16"/>
              </w:rPr>
              <w:t>0.676</w:t>
            </w:r>
          </w:p>
        </w:tc>
        <w:tc>
          <w:tcPr>
            <w:tcW w:type="dxa" w:w="1083"/>
            <w:vAlign w:val="center"/>
          </w:tcPr>
          <w:p>
            <w:r>
              <w:rPr>
                <w:sz w:val="16"/>
              </w:rPr>
              <w:t>0.678</w:t>
            </w:r>
          </w:p>
        </w:tc>
        <w:tc>
          <w:tcPr>
            <w:tcW w:type="dxa" w:w="1083"/>
            <w:vAlign w:val="center"/>
          </w:tcPr>
          <w:p>
            <w:r>
              <w:rPr>
                <w:sz w:val="16"/>
              </w:rPr>
              <w:t>0.009</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323</w:t>
            </w:r>
          </w:p>
        </w:tc>
        <w:tc>
          <w:tcPr>
            <w:tcW w:type="dxa" w:w="1083"/>
            <w:vAlign w:val="center"/>
          </w:tcPr>
          <w:p>
            <w:r>
              <w:rPr>
                <w:sz w:val="16"/>
              </w:rPr>
              <w:t>208</w:t>
            </w:r>
          </w:p>
        </w:tc>
        <w:tc>
          <w:tcPr>
            <w:tcW w:type="dxa" w:w="1083"/>
            <w:vAlign w:val="center"/>
          </w:tcPr>
          <w:p>
            <w:r>
              <w:rPr>
                <w:sz w:val="16"/>
              </w:rPr>
              <w:t>0.671</w:t>
            </w:r>
          </w:p>
        </w:tc>
        <w:tc>
          <w:tcPr>
            <w:tcW w:type="dxa" w:w="1083"/>
            <w:vAlign w:val="center"/>
          </w:tcPr>
          <w:p>
            <w:r>
              <w:rPr>
                <w:sz w:val="16"/>
              </w:rPr>
              <w:t>0.815</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driver_mutation</w:t>
            </w:r>
          </w:p>
        </w:tc>
        <w:tc>
          <w:tcPr>
            <w:tcW w:type="dxa" w:w="1083"/>
            <w:vAlign w:val="center"/>
          </w:tcPr>
          <w:p>
            <w:r>
              <w:rPr>
                <w:sz w:val="16"/>
              </w:rPr>
              <w:t>350</w:t>
            </w:r>
          </w:p>
        </w:tc>
        <w:tc>
          <w:tcPr>
            <w:tcW w:type="dxa" w:w="1083"/>
            <w:vAlign w:val="center"/>
          </w:tcPr>
          <w:p>
            <w:r>
              <w:rPr>
                <w:sz w:val="16"/>
              </w:rPr>
              <w:t>93</w:t>
            </w:r>
          </w:p>
        </w:tc>
        <w:tc>
          <w:tcPr>
            <w:tcW w:type="dxa" w:w="1083"/>
            <w:vAlign w:val="center"/>
          </w:tcPr>
          <w:p>
            <w:r>
              <w:rPr>
                <w:sz w:val="16"/>
              </w:rPr>
              <w:t>0.668</w:t>
            </w:r>
          </w:p>
        </w:tc>
        <w:tc>
          <w:tcPr>
            <w:tcW w:type="dxa" w:w="1083"/>
            <w:vAlign w:val="center"/>
          </w:tcPr>
          <w:p>
            <w:r>
              <w:rPr>
                <w:sz w:val="16"/>
              </w:rPr>
              <w:t>0.496</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Genome doubling</w:t>
            </w:r>
          </w:p>
        </w:tc>
        <w:tc>
          <w:tcPr>
            <w:tcW w:type="dxa" w:w="1083"/>
            <w:vAlign w:val="center"/>
          </w:tcPr>
          <w:p>
            <w:r>
              <w:rPr>
                <w:sz w:val="16"/>
              </w:rPr>
              <w:t>aneuploidy</w:t>
            </w:r>
          </w:p>
        </w:tc>
        <w:tc>
          <w:tcPr>
            <w:tcW w:type="dxa" w:w="1083"/>
            <w:vAlign w:val="center"/>
          </w:tcPr>
          <w:p>
            <w:r>
              <w:rPr>
                <w:sz w:val="16"/>
              </w:rPr>
              <w:t>238</w:t>
            </w:r>
          </w:p>
        </w:tc>
        <w:tc>
          <w:tcPr>
            <w:tcW w:type="dxa" w:w="1083"/>
            <w:vAlign w:val="center"/>
          </w:tcPr>
          <w:p>
            <w:r>
              <w:rPr>
                <w:sz w:val="16"/>
              </w:rPr>
              <w:t>112</w:t>
            </w:r>
          </w:p>
        </w:tc>
        <w:tc>
          <w:tcPr>
            <w:tcW w:type="dxa" w:w="1083"/>
            <w:vAlign w:val="center"/>
          </w:tcPr>
          <w:p>
            <w:r>
              <w:rPr>
                <w:sz w:val="16"/>
              </w:rPr>
              <w:t>0.659</w:t>
            </w:r>
          </w:p>
        </w:tc>
        <w:tc>
          <w:tcPr>
            <w:tcW w:type="dxa" w:w="1083"/>
            <w:vAlign w:val="center"/>
          </w:tcPr>
          <w:p>
            <w:r>
              <w:rPr>
                <w:sz w:val="16"/>
              </w:rPr>
              <w:t>0.673</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72</w:t>
            </w:r>
          </w:p>
        </w:tc>
        <w:tc>
          <w:tcPr>
            <w:tcW w:type="dxa" w:w="1083"/>
            <w:vAlign w:val="center"/>
          </w:tcPr>
          <w:p>
            <w:r>
              <w:rPr>
                <w:sz w:val="16"/>
              </w:rPr>
              <w:t>22</w:t>
            </w:r>
          </w:p>
        </w:tc>
        <w:tc>
          <w:tcPr>
            <w:tcW w:type="dxa" w:w="1083"/>
            <w:vAlign w:val="center"/>
          </w:tcPr>
          <w:p>
            <w:r>
              <w:rPr>
                <w:sz w:val="16"/>
              </w:rPr>
              <w:t>0.657</w:t>
            </w:r>
          </w:p>
        </w:tc>
        <w:tc>
          <w:tcPr>
            <w:tcW w:type="dxa" w:w="1083"/>
            <w:vAlign w:val="center"/>
          </w:tcPr>
          <w:p>
            <w:r>
              <w:rPr>
                <w:sz w:val="16"/>
              </w:rPr>
              <w:t>0.592</w:t>
            </w:r>
          </w:p>
        </w:tc>
        <w:tc>
          <w:tcPr>
            <w:tcW w:type="dxa" w:w="1083"/>
            <w:vAlign w:val="center"/>
          </w:tcPr>
          <w:p>
            <w:r>
              <w:rPr>
                <w:sz w:val="16"/>
              </w:rPr>
              <w:t>0.011</w:t>
            </w:r>
          </w:p>
        </w:tc>
        <w:tc>
          <w:tcPr>
            <w:tcW w:type="dxa" w:w="1083"/>
            <w:vAlign w:val="center"/>
          </w:tcPr>
          <w:p>
            <w:r>
              <w:rPr>
                <w:sz w:val="16"/>
              </w:rPr>
              <w:t>exploratory/limited; excluded</w:t>
            </w:r>
          </w:p>
        </w:tc>
      </w:tr>
      <w:tr>
        <w:trPr>
          <w:cantSplit/>
        </w:trPr>
        <w:tc>
          <w:tcPr>
            <w:tcW w:type="dxa" w:w="1083"/>
            <w:vAlign w:val="center"/>
          </w:tcPr>
          <w:p>
            <w:r>
              <w:rPr>
                <w:sz w:val="16"/>
              </w:rPr>
              <w:t>UCEC</w:t>
            </w:r>
          </w:p>
        </w:tc>
        <w:tc>
          <w:tcPr>
            <w:tcW w:type="dxa" w:w="1083"/>
            <w:vAlign w:val="center"/>
          </w:tcPr>
          <w:p>
            <w:r>
              <w:rPr>
                <w:sz w:val="16"/>
              </w:rPr>
              <w:t>MSI-H (MANTIS &gt;0.4)</w:t>
            </w:r>
          </w:p>
        </w:tc>
        <w:tc>
          <w:tcPr>
            <w:tcW w:type="dxa" w:w="1083"/>
            <w:vAlign w:val="center"/>
          </w:tcPr>
          <w:p>
            <w:r>
              <w:rPr>
                <w:sz w:val="16"/>
              </w:rPr>
              <w:t>microsatellite_instability</w:t>
            </w:r>
          </w:p>
        </w:tc>
        <w:tc>
          <w:tcPr>
            <w:tcW w:type="dxa" w:w="1083"/>
            <w:vAlign w:val="center"/>
          </w:tcPr>
          <w:p>
            <w:r>
              <w:rPr>
                <w:sz w:val="16"/>
              </w:rPr>
              <w:t>487</w:t>
            </w:r>
          </w:p>
        </w:tc>
        <w:tc>
          <w:tcPr>
            <w:tcW w:type="dxa" w:w="1083"/>
            <w:vAlign w:val="center"/>
          </w:tcPr>
          <w:p>
            <w:r>
              <w:rPr>
                <w:sz w:val="16"/>
              </w:rPr>
              <w:t>155</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UCEC</w:t>
            </w:r>
          </w:p>
        </w:tc>
        <w:tc>
          <w:tcPr>
            <w:tcW w:type="dxa" w:w="1083"/>
            <w:vAlign w:val="center"/>
          </w:tcPr>
          <w:p>
            <w:r>
              <w:rPr>
                <w:sz w:val="16"/>
              </w:rPr>
              <w:t>MSI-H strict (MANTIS &gt;0.6)</w:t>
            </w:r>
          </w:p>
        </w:tc>
        <w:tc>
          <w:tcPr>
            <w:tcW w:type="dxa" w:w="1083"/>
            <w:vAlign w:val="center"/>
          </w:tcPr>
          <w:p>
            <w:r>
              <w:rPr>
                <w:sz w:val="16"/>
              </w:rPr>
              <w:t>microsatellite_instability_sensitivity</w:t>
            </w:r>
          </w:p>
        </w:tc>
        <w:tc>
          <w:tcPr>
            <w:tcW w:type="dxa" w:w="1083"/>
            <w:vAlign w:val="center"/>
          </w:tcPr>
          <w:p>
            <w:r>
              <w:rPr>
                <w:sz w:val="16"/>
              </w:rPr>
              <w:t>438</w:t>
            </w:r>
          </w:p>
        </w:tc>
        <w:tc>
          <w:tcPr>
            <w:tcW w:type="dxa" w:w="1083"/>
            <w:vAlign w:val="center"/>
          </w:tcPr>
          <w:p>
            <w:r>
              <w:rPr>
                <w:sz w:val="16"/>
              </w:rPr>
              <w:t>106</w:t>
            </w:r>
          </w:p>
        </w:tc>
        <w:tc>
          <w:tcPr>
            <w:tcW w:type="dxa" w:w="1083"/>
            <w:vAlign w:val="center"/>
          </w:tcPr>
          <w:p>
            <w:r>
              <w:rPr>
                <w:sz w:val="16"/>
              </w:rPr>
              <w:t>0.653</w:t>
            </w:r>
          </w:p>
        </w:tc>
        <w:tc>
          <w:tcPr>
            <w:tcW w:type="dxa" w:w="1083"/>
            <w:vAlign w:val="center"/>
          </w:tcPr>
          <w:p>
            <w:r>
              <w:rPr>
                <w:sz w:val="16"/>
              </w:rPr>
              <w:t>0.541</w:t>
            </w:r>
          </w:p>
        </w:tc>
        <w:tc>
          <w:tcPr>
            <w:tcW w:type="dxa" w:w="1083"/>
            <w:vAlign w:val="center"/>
          </w:tcPr>
          <w:p>
            <w:r>
              <w:rPr>
                <w:sz w:val="16"/>
              </w:rPr>
              <w:t>0.001</w:t>
            </w:r>
          </w:p>
        </w:tc>
        <w:tc>
          <w:tcPr>
            <w:tcW w:type="dxa" w:w="1083"/>
            <w:vAlign w:val="center"/>
          </w:tcPr>
          <w:p>
            <w:r>
              <w:rPr>
                <w:sz w:val="16"/>
              </w:rPr>
              <w:t>standard; included</w:t>
            </w:r>
          </w:p>
        </w:tc>
      </w:tr>
      <w:tr>
        <w:trPr>
          <w:cantSplit/>
        </w:trPr>
        <w:tc>
          <w:tcPr>
            <w:tcW w:type="dxa" w:w="1083"/>
            <w:vAlign w:val="center"/>
          </w:tcPr>
          <w:p>
            <w:r>
              <w:rPr>
                <w:sz w:val="16"/>
              </w:rPr>
              <w:t>COAD</w:t>
            </w:r>
          </w:p>
        </w:tc>
        <w:tc>
          <w:tcPr>
            <w:tcW w:type="dxa" w:w="1083"/>
            <w:vAlign w:val="center"/>
          </w:tcPr>
          <w:p>
            <w:r>
              <w:rPr>
                <w:sz w:val="16"/>
              </w:rPr>
              <w:t>BRAF</w:t>
            </w:r>
          </w:p>
        </w:tc>
        <w:tc>
          <w:tcPr>
            <w:tcW w:type="dxa" w:w="1083"/>
            <w:vAlign w:val="center"/>
          </w:tcPr>
          <w:p>
            <w:r>
              <w:rPr>
                <w:sz w:val="16"/>
              </w:rPr>
              <w:t>driver_mutation</w:t>
            </w:r>
          </w:p>
        </w:tc>
        <w:tc>
          <w:tcPr>
            <w:tcW w:type="dxa" w:w="1083"/>
            <w:vAlign w:val="center"/>
          </w:tcPr>
          <w:p>
            <w:r>
              <w:rPr>
                <w:sz w:val="16"/>
              </w:rPr>
              <w:t>382</w:t>
            </w:r>
          </w:p>
        </w:tc>
        <w:tc>
          <w:tcPr>
            <w:tcW w:type="dxa" w:w="1083"/>
            <w:vAlign w:val="center"/>
          </w:tcPr>
          <w:p>
            <w:r>
              <w:rPr>
                <w:sz w:val="16"/>
              </w:rPr>
              <w:t>44</w:t>
            </w:r>
          </w:p>
        </w:tc>
        <w:tc>
          <w:tcPr>
            <w:tcW w:type="dxa" w:w="1083"/>
            <w:vAlign w:val="center"/>
          </w:tcPr>
          <w:p>
            <w:r>
              <w:rPr>
                <w:sz w:val="16"/>
              </w:rPr>
              <w:t>0.651</w:t>
            </w:r>
          </w:p>
        </w:tc>
        <w:tc>
          <w:tcPr>
            <w:tcW w:type="dxa" w:w="1083"/>
            <w:vAlign w:val="center"/>
          </w:tcPr>
          <w:p>
            <w:r>
              <w:rPr>
                <w:sz w:val="16"/>
              </w:rPr>
              <w:t>0.347</w:t>
            </w:r>
          </w:p>
        </w:tc>
        <w:tc>
          <w:tcPr>
            <w:tcW w:type="dxa" w:w="1083"/>
            <w:vAlign w:val="center"/>
          </w:tcPr>
          <w:p>
            <w:r>
              <w:rPr>
                <w:sz w:val="16"/>
              </w:rPr>
              <w:t>0.003</w:t>
            </w:r>
          </w:p>
        </w:tc>
        <w:tc>
          <w:tcPr>
            <w:tcW w:type="dxa" w:w="1083"/>
            <w:vAlign w:val="center"/>
          </w:tcPr>
          <w:p>
            <w:r>
              <w:rPr>
                <w:sz w:val="16"/>
              </w:rPr>
              <w:t>exploratory/limited; excluded</w:t>
            </w:r>
          </w:p>
        </w:tc>
      </w:tr>
      <w:tr>
        <w:trPr>
          <w:cantSplit/>
        </w:trPr>
        <w:tc>
          <w:tcPr>
            <w:tcW w:type="dxa" w:w="1083"/>
            <w:vAlign w:val="center"/>
          </w:tcPr>
          <w:p>
            <w:r>
              <w:rPr>
                <w:sz w:val="16"/>
              </w:rPr>
              <w:t>GBM</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241</w:t>
            </w:r>
          </w:p>
        </w:tc>
        <w:tc>
          <w:tcPr>
            <w:tcW w:type="dxa" w:w="1083"/>
            <w:vAlign w:val="center"/>
          </w:tcPr>
          <w:p>
            <w:r>
              <w:rPr>
                <w:sz w:val="16"/>
              </w:rPr>
              <w:t>52</w:t>
            </w:r>
          </w:p>
        </w:tc>
        <w:tc>
          <w:tcPr>
            <w:tcW w:type="dxa" w:w="1083"/>
            <w:vAlign w:val="center"/>
          </w:tcPr>
          <w:p>
            <w:r>
              <w:rPr>
                <w:sz w:val="16"/>
              </w:rPr>
              <w:t>0.649</w:t>
            </w:r>
          </w:p>
        </w:tc>
        <w:tc>
          <w:tcPr>
            <w:tcW w:type="dxa" w:w="1083"/>
            <w:vAlign w:val="center"/>
          </w:tcPr>
          <w:p>
            <w:r>
              <w:rPr>
                <w:sz w:val="16"/>
              </w:rPr>
              <w:t>0.420</w:t>
            </w:r>
          </w:p>
        </w:tc>
        <w:tc>
          <w:tcPr>
            <w:tcW w:type="dxa" w:w="1083"/>
            <w:vAlign w:val="center"/>
          </w:tcPr>
          <w:p>
            <w:r>
              <w:rPr>
                <w:sz w:val="16"/>
              </w:rPr>
              <w:t>0.004</w:t>
            </w:r>
          </w:p>
        </w:tc>
        <w:tc>
          <w:tcPr>
            <w:tcW w:type="dxa" w:w="1083"/>
            <w:vAlign w:val="center"/>
          </w:tcPr>
          <w:p>
            <w:r>
              <w:rPr>
                <w:sz w:val="16"/>
              </w:rPr>
              <w:t>standard; included</w:t>
            </w:r>
          </w:p>
        </w:tc>
      </w:tr>
      <w:tr>
        <w:trPr>
          <w:cantSplit/>
        </w:trPr>
        <w:tc>
          <w:tcPr>
            <w:tcW w:type="dxa" w:w="1083"/>
            <w:vAlign w:val="center"/>
          </w:tcPr>
          <w:p>
            <w:r>
              <w:rPr>
                <w:sz w:val="16"/>
              </w:rPr>
              <w:t>LIHC</w:t>
            </w:r>
          </w:p>
        </w:tc>
        <w:tc>
          <w:tcPr>
            <w:tcW w:type="dxa" w:w="1083"/>
            <w:vAlign w:val="center"/>
          </w:tcPr>
          <w:p>
            <w:r>
              <w:rPr>
                <w:sz w:val="16"/>
              </w:rPr>
              <w:t>Cell Cycle</w:t>
            </w:r>
          </w:p>
        </w:tc>
        <w:tc>
          <w:tcPr>
            <w:tcW w:type="dxa" w:w="1083"/>
            <w:vAlign w:val="center"/>
          </w:tcPr>
          <w:p>
            <w:r>
              <w:rPr>
                <w:sz w:val="16"/>
              </w:rPr>
              <w:t>oncogenic_pathway</w:t>
            </w:r>
          </w:p>
        </w:tc>
        <w:tc>
          <w:tcPr>
            <w:tcW w:type="dxa" w:w="1083"/>
            <w:vAlign w:val="center"/>
          </w:tcPr>
          <w:p>
            <w:r>
              <w:rPr>
                <w:sz w:val="16"/>
              </w:rPr>
              <w:t>337</w:t>
            </w:r>
          </w:p>
        </w:tc>
        <w:tc>
          <w:tcPr>
            <w:tcW w:type="dxa" w:w="1083"/>
            <w:vAlign w:val="center"/>
          </w:tcPr>
          <w:p>
            <w:r>
              <w:rPr>
                <w:sz w:val="16"/>
              </w:rPr>
              <w:t>232</w:t>
            </w:r>
          </w:p>
        </w:tc>
        <w:tc>
          <w:tcPr>
            <w:tcW w:type="dxa" w:w="1083"/>
            <w:vAlign w:val="center"/>
          </w:tcPr>
          <w:p>
            <w:r>
              <w:rPr>
                <w:sz w:val="16"/>
              </w:rPr>
              <w:t>0.644</w:t>
            </w:r>
          </w:p>
        </w:tc>
        <w:tc>
          <w:tcPr>
            <w:tcW w:type="dxa" w:w="1083"/>
            <w:vAlign w:val="center"/>
          </w:tcPr>
          <w:p>
            <w:r>
              <w:rPr>
                <w:sz w:val="16"/>
              </w:rPr>
              <w:t>0.793</w:t>
            </w:r>
          </w:p>
        </w:tc>
        <w:tc>
          <w:tcPr>
            <w:tcW w:type="dxa" w:w="1083"/>
            <w:vAlign w:val="center"/>
          </w:tcPr>
          <w:p>
            <w:r>
              <w:rPr>
                <w:sz w:val="16"/>
              </w:rPr>
              <w:t>0.003</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184</w:t>
            </w:r>
          </w:p>
        </w:tc>
        <w:tc>
          <w:tcPr>
            <w:tcW w:type="dxa" w:w="1083"/>
            <w:vAlign w:val="center"/>
          </w:tcPr>
          <w:p>
            <w:r>
              <w:rPr>
                <w:sz w:val="16"/>
              </w:rPr>
              <w:t>0.643</w:t>
            </w:r>
          </w:p>
        </w:tc>
        <w:tc>
          <w:tcPr>
            <w:tcW w:type="dxa" w:w="1083"/>
            <w:vAlign w:val="center"/>
          </w:tcPr>
          <w:p>
            <w:r>
              <w:rPr>
                <w:sz w:val="16"/>
              </w:rPr>
              <w:t>0.725</w:t>
            </w:r>
          </w:p>
        </w:tc>
        <w:tc>
          <w:tcPr>
            <w:tcW w:type="dxa" w:w="1083"/>
            <w:vAlign w:val="center"/>
          </w:tcPr>
          <w:p>
            <w:r>
              <w:rPr>
                <w:sz w:val="16"/>
              </w:rPr>
              <w:t>0.002</w:t>
            </w:r>
          </w:p>
        </w:tc>
        <w:tc>
          <w:tcPr>
            <w:tcW w:type="dxa" w:w="1083"/>
            <w:vAlign w:val="center"/>
          </w:tcPr>
          <w:p>
            <w:r>
              <w:rPr>
                <w:sz w:val="16"/>
              </w:rPr>
              <w:t>standard; included</w:t>
            </w:r>
          </w:p>
        </w:tc>
      </w:tr>
      <w:tr>
        <w:trPr>
          <w:cantSplit/>
        </w:trPr>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oncogenic_pathway</w:t>
            </w:r>
          </w:p>
        </w:tc>
        <w:tc>
          <w:tcPr>
            <w:tcW w:type="dxa" w:w="1083"/>
            <w:vAlign w:val="center"/>
          </w:tcPr>
          <w:p>
            <w:r>
              <w:rPr>
                <w:sz w:val="16"/>
              </w:rPr>
              <w:t>222</w:t>
            </w:r>
          </w:p>
        </w:tc>
        <w:tc>
          <w:tcPr>
            <w:tcW w:type="dxa" w:w="1083"/>
            <w:vAlign w:val="center"/>
          </w:tcPr>
          <w:p>
            <w:r>
              <w:rPr>
                <w:sz w:val="16"/>
              </w:rPr>
              <w:t>146</w:t>
            </w:r>
          </w:p>
        </w:tc>
        <w:tc>
          <w:tcPr>
            <w:tcW w:type="dxa" w:w="1083"/>
            <w:vAlign w:val="center"/>
          </w:tcPr>
          <w:p>
            <w:r>
              <w:rPr>
                <w:sz w:val="16"/>
              </w:rPr>
              <w:t>0.643</w:t>
            </w:r>
          </w:p>
        </w:tc>
        <w:tc>
          <w:tcPr>
            <w:tcW w:type="dxa" w:w="1083"/>
            <w:vAlign w:val="center"/>
          </w:tcPr>
          <w:p>
            <w:r>
              <w:rPr>
                <w:sz w:val="16"/>
              </w:rPr>
              <w:t>0.734</w:t>
            </w:r>
          </w:p>
        </w:tc>
        <w:tc>
          <w:tcPr>
            <w:tcW w:type="dxa" w:w="1083"/>
            <w:vAlign w:val="center"/>
          </w:tcPr>
          <w:p>
            <w:r>
              <w:rPr>
                <w:sz w:val="16"/>
              </w:rPr>
              <w:t>0.007</w:t>
            </w:r>
          </w:p>
        </w:tc>
        <w:tc>
          <w:tcPr>
            <w:tcW w:type="dxa" w:w="1083"/>
            <w:vAlign w:val="center"/>
          </w:tcPr>
          <w:p>
            <w:r>
              <w:rPr>
                <w:sz w:val="16"/>
              </w:rPr>
              <w:t>standard; included</w:t>
            </w:r>
          </w:p>
        </w:tc>
      </w:tr>
      <w:tr>
        <w:trPr>
          <w:cantSplit/>
        </w:trPr>
        <w:tc>
          <w:tcPr>
            <w:tcW w:type="dxa" w:w="1083"/>
            <w:vAlign w:val="center"/>
          </w:tcPr>
          <w:p>
            <w:r>
              <w:rPr>
                <w:sz w:val="16"/>
              </w:rPr>
              <w:t>BLCA</w:t>
            </w:r>
          </w:p>
        </w:tc>
        <w:tc>
          <w:tcPr>
            <w:tcW w:type="dxa" w:w="1083"/>
            <w:vAlign w:val="center"/>
          </w:tcPr>
          <w:p>
            <w:r>
              <w:rPr>
                <w:sz w:val="16"/>
              </w:rPr>
              <w:t>TP53</w:t>
            </w:r>
          </w:p>
        </w:tc>
        <w:tc>
          <w:tcPr>
            <w:tcW w:type="dxa" w:w="1083"/>
            <w:vAlign w:val="center"/>
          </w:tcPr>
          <w:p>
            <w:r>
              <w:rPr>
                <w:sz w:val="16"/>
              </w:rPr>
              <w:t>driver_mutation</w:t>
            </w:r>
          </w:p>
        </w:tc>
        <w:tc>
          <w:tcPr>
            <w:tcW w:type="dxa" w:w="1083"/>
            <w:vAlign w:val="center"/>
          </w:tcPr>
          <w:p>
            <w:r>
              <w:rPr>
                <w:sz w:val="16"/>
              </w:rPr>
              <w:t>384</w:t>
            </w:r>
          </w:p>
        </w:tc>
        <w:tc>
          <w:tcPr>
            <w:tcW w:type="dxa" w:w="1083"/>
            <w:vAlign w:val="center"/>
          </w:tcPr>
          <w:p>
            <w:r>
              <w:rPr>
                <w:sz w:val="16"/>
              </w:rPr>
              <w:t>185</w:t>
            </w:r>
          </w:p>
        </w:tc>
        <w:tc>
          <w:tcPr>
            <w:tcW w:type="dxa" w:w="1083"/>
            <w:vAlign w:val="center"/>
          </w:tcPr>
          <w:p>
            <w:r>
              <w:rPr>
                <w:sz w:val="16"/>
              </w:rPr>
              <w:t>0.642</w:t>
            </w:r>
          </w:p>
        </w:tc>
        <w:tc>
          <w:tcPr>
            <w:tcW w:type="dxa" w:w="1083"/>
            <w:vAlign w:val="center"/>
          </w:tcPr>
          <w:p>
            <w:r>
              <w:rPr>
                <w:sz w:val="16"/>
              </w:rPr>
              <w:t>0.630</w:t>
            </w:r>
          </w:p>
        </w:tc>
        <w:tc>
          <w:tcPr>
            <w:tcW w:type="dxa" w:w="1083"/>
            <w:vAlign w:val="center"/>
          </w:tcPr>
          <w:p>
            <w:r>
              <w:rPr>
                <w:sz w:val="16"/>
              </w:rPr>
              <w:t>0.010</w:t>
            </w:r>
          </w:p>
        </w:tc>
        <w:tc>
          <w:tcPr>
            <w:tcW w:type="dxa" w:w="1083"/>
            <w:vAlign w:val="center"/>
          </w:tcPr>
          <w:p>
            <w:r>
              <w:rPr>
                <w:sz w:val="16"/>
              </w:rPr>
              <w:t>standard; included</w:t>
            </w:r>
          </w:p>
        </w:tc>
      </w:tr>
      <w:tr>
        <w:trPr>
          <w:cantSplit/>
        </w:trPr>
        <w:tc>
          <w:tcPr>
            <w:tcW w:type="dxa" w:w="1083"/>
            <w:vAlign w:val="center"/>
          </w:tcPr>
          <w:p>
            <w:r>
              <w:rPr>
                <w:sz w:val="16"/>
              </w:rPr>
              <w:t>STAD</w:t>
            </w:r>
          </w:p>
        </w:tc>
        <w:tc>
          <w:tcPr>
            <w:tcW w:type="dxa" w:w="1083"/>
            <w:vAlign w:val="center"/>
          </w:tcPr>
          <w:p>
            <w:r>
              <w:rPr>
                <w:sz w:val="16"/>
              </w:rPr>
              <w:t>HIPPO</w:t>
            </w:r>
          </w:p>
        </w:tc>
        <w:tc>
          <w:tcPr>
            <w:tcW w:type="dxa" w:w="1083"/>
            <w:vAlign w:val="center"/>
          </w:tcPr>
          <w:p>
            <w:r>
              <w:rPr>
                <w:sz w:val="16"/>
              </w:rPr>
              <w:t>oncogenic_pathway</w:t>
            </w:r>
          </w:p>
        </w:tc>
        <w:tc>
          <w:tcPr>
            <w:tcW w:type="dxa" w:w="1083"/>
            <w:vAlign w:val="center"/>
          </w:tcPr>
          <w:p>
            <w:r>
              <w:rPr>
                <w:sz w:val="16"/>
              </w:rPr>
              <w:t>327</w:t>
            </w:r>
          </w:p>
        </w:tc>
        <w:tc>
          <w:tcPr>
            <w:tcW w:type="dxa" w:w="1083"/>
            <w:vAlign w:val="center"/>
          </w:tcPr>
          <w:p>
            <w:r>
              <w:rPr>
                <w:sz w:val="16"/>
              </w:rPr>
              <w:t>70</w:t>
            </w:r>
          </w:p>
        </w:tc>
        <w:tc>
          <w:tcPr>
            <w:tcW w:type="dxa" w:w="1083"/>
            <w:vAlign w:val="center"/>
          </w:tcPr>
          <w:p>
            <w:r>
              <w:rPr>
                <w:sz w:val="16"/>
              </w:rPr>
              <w:t>0.639</w:t>
            </w:r>
          </w:p>
        </w:tc>
        <w:tc>
          <w:tcPr>
            <w:tcW w:type="dxa" w:w="1083"/>
            <w:vAlign w:val="center"/>
          </w:tcPr>
          <w:p>
            <w:r>
              <w:rPr>
                <w:sz w:val="16"/>
              </w:rPr>
              <w:t>0.378</w:t>
            </w:r>
          </w:p>
        </w:tc>
        <w:tc>
          <w:tcPr>
            <w:tcW w:type="dxa" w:w="1083"/>
            <w:vAlign w:val="center"/>
          </w:tcPr>
          <w:p>
            <w:r>
              <w:rPr>
                <w:sz w:val="16"/>
              </w:rPr>
              <w:t>0.002</w:t>
            </w:r>
          </w:p>
        </w:tc>
        <w:tc>
          <w:tcPr>
            <w:tcW w:type="dxa" w:w="1083"/>
            <w:vAlign w:val="center"/>
          </w:tcPr>
          <w:p>
            <w:r>
              <w:rPr>
                <w:sz w:val="16"/>
              </w:rPr>
              <w:t>standard; included</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primary-screen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primary-screen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prespecified screening tier A</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prespecified screening tier A</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prespecified screening tier A</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prespecified screening tier A</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prespecified screening tier B</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prespecified screening tier B</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prespecified screening tier B</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prespecified screening tier B</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prespecified screening tier B</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prespecified screening tier B</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prespecified screening tier B</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prespecified screening tier B</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prespecified screening tier B</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prespecified screening tier B</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prespecified screening tier B</w:t>
            </w:r>
          </w:p>
        </w:tc>
      </w:tr>
    </w:tbl>
    <w:p/>
    <w:p>
      <w:pPr>
        <w:pStyle w:val="Heading1"/>
      </w:pPr>
      <w:r>
        <w:t>Table S10b. Screen-positive models below the original prespecified screening threshold under validation grouped by TCGA tissue-source-site code</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TCGA TSS codes</w:t>
            </w:r>
          </w:p>
        </w:tc>
        <w:tc>
          <w:tcPr>
            <w:tcW w:type="dxa" w:w="1083"/>
          </w:tcPr>
          <w:p>
            <w:r>
              <w:rPr>
                <w:b/>
                <w:sz w:val="17"/>
              </w:rPr>
              <w:t>Primary screen metric</w:t>
            </w:r>
          </w:p>
        </w:tc>
        <w:tc>
          <w:tcPr>
            <w:tcW w:type="dxa" w:w="1083"/>
          </w:tcPr>
          <w:p>
            <w:r>
              <w:rPr>
                <w:b/>
                <w:sz w:val="17"/>
              </w:rPr>
              <w:t>TSS-code-grouped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Outer-fold composition grouped by TCGA tissue-source-site code for the two colorectal APC examples</w:t>
      </w:r>
    </w:p>
    <w:p>
      <w:r>
        <w:t>The table shows every outer fold for the two near-chance APC examples. The complete 1,613-row file reports test and training patients, TCGA tissue-source-site codes, positive and negative cases, code identifiers, seeds and inner-code-separation diagnostics for every screen-positive model. Inner component selection used the same grouping by TCGA tissue-source-site code and had no code overlap.</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Model</w:t>
            </w:r>
          </w:p>
        </w:tc>
        <w:tc>
          <w:tcPr>
            <w:tcW w:type="dxa" w:w="1218"/>
          </w:tcPr>
          <w:p>
            <w:r>
              <w:rPr>
                <w:b/>
                <w:sz w:val="17"/>
              </w:rPr>
              <w:t>Fold</w:t>
            </w:r>
          </w:p>
        </w:tc>
        <w:tc>
          <w:tcPr>
            <w:tcW w:type="dxa" w:w="1218"/>
          </w:tcPr>
          <w:p>
            <w:r>
              <w:rPr>
                <w:b/>
                <w:sz w:val="17"/>
              </w:rPr>
              <w:t>Test patients</w:t>
            </w:r>
          </w:p>
        </w:tc>
        <w:tc>
          <w:tcPr>
            <w:tcW w:type="dxa" w:w="1218"/>
          </w:tcPr>
          <w:p>
            <w:r>
              <w:rPr>
                <w:b/>
                <w:sz w:val="17"/>
              </w:rPr>
              <w:t>Test TSS codes</w:t>
            </w:r>
          </w:p>
        </w:tc>
        <w:tc>
          <w:tcPr>
            <w:tcW w:type="dxa" w:w="1218"/>
          </w:tcPr>
          <w:p>
            <w:r>
              <w:rPr>
                <w:b/>
                <w:sz w:val="17"/>
              </w:rPr>
              <w:t>Test positive/negative</w:t>
            </w:r>
          </w:p>
        </w:tc>
        <w:tc>
          <w:tcPr>
            <w:tcW w:type="dxa" w:w="1218"/>
          </w:tcPr>
          <w:p>
            <w:r>
              <w:rPr>
                <w:b/>
                <w:sz w:val="17"/>
              </w:rPr>
              <w:t>Training patients</w:t>
            </w:r>
          </w:p>
        </w:tc>
        <w:tc>
          <w:tcPr>
            <w:tcW w:type="dxa" w:w="1218"/>
          </w:tcPr>
          <w:p>
            <w:r>
              <w:rPr>
                <w:b/>
                <w:sz w:val="17"/>
              </w:rPr>
              <w:t>Training TSS codes</w:t>
            </w:r>
          </w:p>
        </w:tc>
        <w:tc>
          <w:tcPr>
            <w:tcW w:type="dxa" w:w="1218"/>
          </w:tcPr>
          <w:p>
            <w:r>
              <w:rPr>
                <w:b/>
                <w:sz w:val="17"/>
              </w:rPr>
              <w:t>Training positive/negative</w:t>
            </w:r>
          </w:p>
        </w:tc>
      </w:tr>
      <w:tr>
        <w:trPr>
          <w:cantSplit/>
        </w:trPr>
        <w:tc>
          <w:tcPr>
            <w:tcW w:type="dxa" w:w="1218"/>
            <w:vAlign w:val="center"/>
          </w:tcPr>
          <w:p>
            <w:r>
              <w:rPr>
                <w:sz w:val="16"/>
              </w:rPr>
              <w:t>COAD–APC</w:t>
            </w:r>
          </w:p>
        </w:tc>
        <w:tc>
          <w:tcPr>
            <w:tcW w:type="dxa" w:w="1218"/>
            <w:vAlign w:val="center"/>
          </w:tcPr>
          <w:p>
            <w:r>
              <w:rPr>
                <w:sz w:val="16"/>
              </w:rPr>
              <w:t>1</w:t>
            </w:r>
          </w:p>
        </w:tc>
        <w:tc>
          <w:tcPr>
            <w:tcW w:type="dxa" w:w="1218"/>
            <w:vAlign w:val="center"/>
          </w:tcPr>
          <w:p>
            <w:r>
              <w:rPr>
                <w:sz w:val="16"/>
              </w:rPr>
              <w:t>63</w:t>
            </w:r>
          </w:p>
        </w:tc>
        <w:tc>
          <w:tcPr>
            <w:tcW w:type="dxa" w:w="1218"/>
            <w:vAlign w:val="center"/>
          </w:tcPr>
          <w:p>
            <w:r>
              <w:rPr>
                <w:sz w:val="16"/>
              </w:rPr>
              <w:t>6</w:t>
            </w:r>
          </w:p>
        </w:tc>
        <w:tc>
          <w:tcPr>
            <w:tcW w:type="dxa" w:w="1218"/>
            <w:vAlign w:val="center"/>
          </w:tcPr>
          <w:p>
            <w:r>
              <w:rPr>
                <w:sz w:val="16"/>
              </w:rPr>
              <w:t>43/20</w:t>
            </w:r>
          </w:p>
        </w:tc>
        <w:tc>
          <w:tcPr>
            <w:tcW w:type="dxa" w:w="1218"/>
            <w:vAlign w:val="center"/>
          </w:tcPr>
          <w:p>
            <w:r>
              <w:rPr>
                <w:sz w:val="16"/>
              </w:rPr>
              <w:t>319</w:t>
            </w:r>
          </w:p>
        </w:tc>
        <w:tc>
          <w:tcPr>
            <w:tcW w:type="dxa" w:w="1218"/>
            <w:vAlign w:val="center"/>
          </w:tcPr>
          <w:p>
            <w:r>
              <w:rPr>
                <w:sz w:val="16"/>
              </w:rPr>
              <w:t>18</w:t>
            </w:r>
          </w:p>
        </w:tc>
        <w:tc>
          <w:tcPr>
            <w:tcW w:type="dxa" w:w="1218"/>
            <w:vAlign w:val="center"/>
          </w:tcPr>
          <w:p>
            <w:r>
              <w:rPr>
                <w:sz w:val="16"/>
              </w:rPr>
              <w:t>153/166</w:t>
            </w:r>
          </w:p>
        </w:tc>
      </w:tr>
      <w:tr>
        <w:trPr>
          <w:cantSplit/>
        </w:trPr>
        <w:tc>
          <w:tcPr>
            <w:tcW w:type="dxa" w:w="1218"/>
            <w:vAlign w:val="center"/>
          </w:tcPr>
          <w:p>
            <w:r>
              <w:rPr>
                <w:sz w:val="16"/>
              </w:rPr>
              <w:t>COAD–APC</w:t>
            </w:r>
          </w:p>
        </w:tc>
        <w:tc>
          <w:tcPr>
            <w:tcW w:type="dxa" w:w="1218"/>
            <w:vAlign w:val="center"/>
          </w:tcPr>
          <w:p>
            <w:r>
              <w:rPr>
                <w:sz w:val="16"/>
              </w:rPr>
              <w:t>2</w:t>
            </w:r>
          </w:p>
        </w:tc>
        <w:tc>
          <w:tcPr>
            <w:tcW w:type="dxa" w:w="1218"/>
            <w:vAlign w:val="center"/>
          </w:tcPr>
          <w:p>
            <w:r>
              <w:rPr>
                <w:sz w:val="16"/>
              </w:rPr>
              <w:t>177</w:t>
            </w:r>
          </w:p>
        </w:tc>
        <w:tc>
          <w:tcPr>
            <w:tcW w:type="dxa" w:w="1218"/>
            <w:vAlign w:val="center"/>
          </w:tcPr>
          <w:p>
            <w:r>
              <w:rPr>
                <w:sz w:val="16"/>
              </w:rPr>
              <w:t>6</w:t>
            </w:r>
          </w:p>
        </w:tc>
        <w:tc>
          <w:tcPr>
            <w:tcW w:type="dxa" w:w="1218"/>
            <w:vAlign w:val="center"/>
          </w:tcPr>
          <w:p>
            <w:r>
              <w:rPr>
                <w:sz w:val="16"/>
              </w:rPr>
              <w:t>47/130</w:t>
            </w:r>
          </w:p>
        </w:tc>
        <w:tc>
          <w:tcPr>
            <w:tcW w:type="dxa" w:w="1218"/>
            <w:vAlign w:val="center"/>
          </w:tcPr>
          <w:p>
            <w:r>
              <w:rPr>
                <w:sz w:val="16"/>
              </w:rPr>
              <w:t>205</w:t>
            </w:r>
          </w:p>
        </w:tc>
        <w:tc>
          <w:tcPr>
            <w:tcW w:type="dxa" w:w="1218"/>
            <w:vAlign w:val="center"/>
          </w:tcPr>
          <w:p>
            <w:r>
              <w:rPr>
                <w:sz w:val="16"/>
              </w:rPr>
              <w:t>18</w:t>
            </w:r>
          </w:p>
        </w:tc>
        <w:tc>
          <w:tcPr>
            <w:tcW w:type="dxa" w:w="1218"/>
            <w:vAlign w:val="center"/>
          </w:tcPr>
          <w:p>
            <w:r>
              <w:rPr>
                <w:sz w:val="16"/>
              </w:rPr>
              <w:t>149/56</w:t>
            </w:r>
          </w:p>
        </w:tc>
      </w:tr>
      <w:tr>
        <w:trPr>
          <w:cantSplit/>
        </w:trPr>
        <w:tc>
          <w:tcPr>
            <w:tcW w:type="dxa" w:w="1218"/>
            <w:vAlign w:val="center"/>
          </w:tcPr>
          <w:p>
            <w:r>
              <w:rPr>
                <w:sz w:val="16"/>
              </w:rPr>
              <w:t>COAD–APC</w:t>
            </w:r>
          </w:p>
        </w:tc>
        <w:tc>
          <w:tcPr>
            <w:tcW w:type="dxa" w:w="1218"/>
            <w:vAlign w:val="center"/>
          </w:tcPr>
          <w:p>
            <w:r>
              <w:rPr>
                <w:sz w:val="16"/>
              </w:rPr>
              <w:t>3</w:t>
            </w:r>
          </w:p>
        </w:tc>
        <w:tc>
          <w:tcPr>
            <w:tcW w:type="dxa" w:w="1218"/>
            <w:vAlign w:val="center"/>
          </w:tcPr>
          <w:p>
            <w:r>
              <w:rPr>
                <w:sz w:val="16"/>
              </w:rPr>
              <w:t>35</w:t>
            </w:r>
          </w:p>
        </w:tc>
        <w:tc>
          <w:tcPr>
            <w:tcW w:type="dxa" w:w="1218"/>
            <w:vAlign w:val="center"/>
          </w:tcPr>
          <w:p>
            <w:r>
              <w:rPr>
                <w:sz w:val="16"/>
              </w:rPr>
              <w:t>4</w:t>
            </w:r>
          </w:p>
        </w:tc>
        <w:tc>
          <w:tcPr>
            <w:tcW w:type="dxa" w:w="1218"/>
            <w:vAlign w:val="center"/>
          </w:tcPr>
          <w:p>
            <w:r>
              <w:rPr>
                <w:sz w:val="16"/>
              </w:rPr>
              <w:t>30/5</w:t>
            </w:r>
          </w:p>
        </w:tc>
        <w:tc>
          <w:tcPr>
            <w:tcW w:type="dxa" w:w="1218"/>
            <w:vAlign w:val="center"/>
          </w:tcPr>
          <w:p>
            <w:r>
              <w:rPr>
                <w:sz w:val="16"/>
              </w:rPr>
              <w:t>347</w:t>
            </w:r>
          </w:p>
        </w:tc>
        <w:tc>
          <w:tcPr>
            <w:tcW w:type="dxa" w:w="1218"/>
            <w:vAlign w:val="center"/>
          </w:tcPr>
          <w:p>
            <w:r>
              <w:rPr>
                <w:sz w:val="16"/>
              </w:rPr>
              <w:t>20</w:t>
            </w:r>
          </w:p>
        </w:tc>
        <w:tc>
          <w:tcPr>
            <w:tcW w:type="dxa" w:w="1218"/>
            <w:vAlign w:val="center"/>
          </w:tcPr>
          <w:p>
            <w:r>
              <w:rPr>
                <w:sz w:val="16"/>
              </w:rPr>
              <w:t>166/181</w:t>
            </w:r>
          </w:p>
        </w:tc>
      </w:tr>
      <w:tr>
        <w:trPr>
          <w:cantSplit/>
        </w:trPr>
        <w:tc>
          <w:tcPr>
            <w:tcW w:type="dxa" w:w="1218"/>
            <w:vAlign w:val="center"/>
          </w:tcPr>
          <w:p>
            <w:r>
              <w:rPr>
                <w:sz w:val="16"/>
              </w:rPr>
              <w:t>COAD–APC</w:t>
            </w:r>
          </w:p>
        </w:tc>
        <w:tc>
          <w:tcPr>
            <w:tcW w:type="dxa" w:w="1218"/>
            <w:vAlign w:val="center"/>
          </w:tcPr>
          <w:p>
            <w:r>
              <w:rPr>
                <w:sz w:val="16"/>
              </w:rPr>
              <w:t>4</w:t>
            </w:r>
          </w:p>
        </w:tc>
        <w:tc>
          <w:tcPr>
            <w:tcW w:type="dxa" w:w="1218"/>
            <w:vAlign w:val="center"/>
          </w:tcPr>
          <w:p>
            <w:r>
              <w:rPr>
                <w:sz w:val="16"/>
              </w:rPr>
              <w:t>85</w:t>
            </w:r>
          </w:p>
        </w:tc>
        <w:tc>
          <w:tcPr>
            <w:tcW w:type="dxa" w:w="1218"/>
            <w:vAlign w:val="center"/>
          </w:tcPr>
          <w:p>
            <w:r>
              <w:rPr>
                <w:sz w:val="16"/>
              </w:rPr>
              <w:t>4</w:t>
            </w:r>
          </w:p>
        </w:tc>
        <w:tc>
          <w:tcPr>
            <w:tcW w:type="dxa" w:w="1218"/>
            <w:vAlign w:val="center"/>
          </w:tcPr>
          <w:p>
            <w:r>
              <w:rPr>
                <w:sz w:val="16"/>
              </w:rPr>
              <w:t>61/24</w:t>
            </w:r>
          </w:p>
        </w:tc>
        <w:tc>
          <w:tcPr>
            <w:tcW w:type="dxa" w:w="1218"/>
            <w:vAlign w:val="center"/>
          </w:tcPr>
          <w:p>
            <w:r>
              <w:rPr>
                <w:sz w:val="16"/>
              </w:rPr>
              <w:t>297</w:t>
            </w:r>
          </w:p>
        </w:tc>
        <w:tc>
          <w:tcPr>
            <w:tcW w:type="dxa" w:w="1218"/>
            <w:vAlign w:val="center"/>
          </w:tcPr>
          <w:p>
            <w:r>
              <w:rPr>
                <w:sz w:val="16"/>
              </w:rPr>
              <w:t>20</w:t>
            </w:r>
          </w:p>
        </w:tc>
        <w:tc>
          <w:tcPr>
            <w:tcW w:type="dxa" w:w="1218"/>
            <w:vAlign w:val="center"/>
          </w:tcPr>
          <w:p>
            <w:r>
              <w:rPr>
                <w:sz w:val="16"/>
              </w:rPr>
              <w:t>135/162</w:t>
            </w:r>
          </w:p>
        </w:tc>
      </w:tr>
      <w:tr>
        <w:trPr>
          <w:cantSplit/>
        </w:trPr>
        <w:tc>
          <w:tcPr>
            <w:tcW w:type="dxa" w:w="1218"/>
            <w:vAlign w:val="center"/>
          </w:tcPr>
          <w:p>
            <w:r>
              <w:rPr>
                <w:sz w:val="16"/>
              </w:rPr>
              <w:t>COAD–APC</w:t>
            </w:r>
          </w:p>
        </w:tc>
        <w:tc>
          <w:tcPr>
            <w:tcW w:type="dxa" w:w="1218"/>
            <w:vAlign w:val="center"/>
          </w:tcPr>
          <w:p>
            <w:r>
              <w:rPr>
                <w:sz w:val="16"/>
              </w:rPr>
              <w:t>5</w:t>
            </w:r>
          </w:p>
        </w:tc>
        <w:tc>
          <w:tcPr>
            <w:tcW w:type="dxa" w:w="1218"/>
            <w:vAlign w:val="center"/>
          </w:tcPr>
          <w:p>
            <w:r>
              <w:rPr>
                <w:sz w:val="16"/>
              </w:rPr>
              <w:t>22</w:t>
            </w:r>
          </w:p>
        </w:tc>
        <w:tc>
          <w:tcPr>
            <w:tcW w:type="dxa" w:w="1218"/>
            <w:vAlign w:val="center"/>
          </w:tcPr>
          <w:p>
            <w:r>
              <w:rPr>
                <w:sz w:val="16"/>
              </w:rPr>
              <w:t>4</w:t>
            </w:r>
          </w:p>
        </w:tc>
        <w:tc>
          <w:tcPr>
            <w:tcW w:type="dxa" w:w="1218"/>
            <w:vAlign w:val="center"/>
          </w:tcPr>
          <w:p>
            <w:r>
              <w:rPr>
                <w:sz w:val="16"/>
              </w:rPr>
              <w:t>15/7</w:t>
            </w:r>
          </w:p>
        </w:tc>
        <w:tc>
          <w:tcPr>
            <w:tcW w:type="dxa" w:w="1218"/>
            <w:vAlign w:val="center"/>
          </w:tcPr>
          <w:p>
            <w:r>
              <w:rPr>
                <w:sz w:val="16"/>
              </w:rPr>
              <w:t>360</w:t>
            </w:r>
          </w:p>
        </w:tc>
        <w:tc>
          <w:tcPr>
            <w:tcW w:type="dxa" w:w="1218"/>
            <w:vAlign w:val="center"/>
          </w:tcPr>
          <w:p>
            <w:r>
              <w:rPr>
                <w:sz w:val="16"/>
              </w:rPr>
              <w:t>20</w:t>
            </w:r>
          </w:p>
        </w:tc>
        <w:tc>
          <w:tcPr>
            <w:tcW w:type="dxa" w:w="1218"/>
            <w:vAlign w:val="center"/>
          </w:tcPr>
          <w:p>
            <w:r>
              <w:rPr>
                <w:sz w:val="16"/>
              </w:rPr>
              <w:t>181/179</w:t>
            </w:r>
          </w:p>
        </w:tc>
      </w:tr>
      <w:tr>
        <w:trPr>
          <w:cantSplit/>
        </w:trPr>
        <w:tc>
          <w:tcPr>
            <w:tcW w:type="dxa" w:w="1218"/>
            <w:vAlign w:val="center"/>
          </w:tcPr>
          <w:p>
            <w:r>
              <w:rPr>
                <w:sz w:val="16"/>
              </w:rPr>
              <w:t>READ–APC</w:t>
            </w:r>
          </w:p>
        </w:tc>
        <w:tc>
          <w:tcPr>
            <w:tcW w:type="dxa" w:w="1218"/>
            <w:vAlign w:val="center"/>
          </w:tcPr>
          <w:p>
            <w:r>
              <w:rPr>
                <w:sz w:val="16"/>
              </w:rPr>
              <w:t>1</w:t>
            </w:r>
          </w:p>
        </w:tc>
        <w:tc>
          <w:tcPr>
            <w:tcW w:type="dxa" w:w="1218"/>
            <w:vAlign w:val="center"/>
          </w:tcPr>
          <w:p>
            <w:r>
              <w:rPr>
                <w:sz w:val="16"/>
              </w:rPr>
              <w:t>5</w:t>
            </w:r>
          </w:p>
        </w:tc>
        <w:tc>
          <w:tcPr>
            <w:tcW w:type="dxa" w:w="1218"/>
            <w:vAlign w:val="center"/>
          </w:tcPr>
          <w:p>
            <w:r>
              <w:rPr>
                <w:sz w:val="16"/>
              </w:rPr>
              <w:t>3</w:t>
            </w:r>
          </w:p>
        </w:tc>
        <w:tc>
          <w:tcPr>
            <w:tcW w:type="dxa" w:w="1218"/>
            <w:vAlign w:val="center"/>
          </w:tcPr>
          <w:p>
            <w:r>
              <w:rPr>
                <w:sz w:val="16"/>
              </w:rPr>
              <w:t>4/1</w:t>
            </w:r>
          </w:p>
        </w:tc>
        <w:tc>
          <w:tcPr>
            <w:tcW w:type="dxa" w:w="1218"/>
            <w:vAlign w:val="center"/>
          </w:tcPr>
          <w:p>
            <w:r>
              <w:rPr>
                <w:sz w:val="16"/>
              </w:rPr>
              <w:t>130</w:t>
            </w:r>
          </w:p>
        </w:tc>
        <w:tc>
          <w:tcPr>
            <w:tcW w:type="dxa" w:w="1218"/>
            <w:vAlign w:val="center"/>
          </w:tcPr>
          <w:p>
            <w:r>
              <w:rPr>
                <w:sz w:val="16"/>
              </w:rPr>
              <w:t>10</w:t>
            </w:r>
          </w:p>
        </w:tc>
        <w:tc>
          <w:tcPr>
            <w:tcW w:type="dxa" w:w="1218"/>
            <w:vAlign w:val="center"/>
          </w:tcPr>
          <w:p>
            <w:r>
              <w:rPr>
                <w:sz w:val="16"/>
              </w:rPr>
              <w:t>61/69</w:t>
            </w:r>
          </w:p>
        </w:tc>
      </w:tr>
      <w:tr>
        <w:trPr>
          <w:cantSplit/>
        </w:trPr>
        <w:tc>
          <w:tcPr>
            <w:tcW w:type="dxa" w:w="1218"/>
            <w:vAlign w:val="center"/>
          </w:tcPr>
          <w:p>
            <w:r>
              <w:rPr>
                <w:sz w:val="16"/>
              </w:rPr>
              <w:t>READ–APC</w:t>
            </w:r>
          </w:p>
        </w:tc>
        <w:tc>
          <w:tcPr>
            <w:tcW w:type="dxa" w:w="1218"/>
            <w:vAlign w:val="center"/>
          </w:tcPr>
          <w:p>
            <w:r>
              <w:rPr>
                <w:sz w:val="16"/>
              </w:rPr>
              <w:t>2</w:t>
            </w:r>
          </w:p>
        </w:tc>
        <w:tc>
          <w:tcPr>
            <w:tcW w:type="dxa" w:w="1218"/>
            <w:vAlign w:val="center"/>
          </w:tcPr>
          <w:p>
            <w:r>
              <w:rPr>
                <w:sz w:val="16"/>
              </w:rPr>
              <w:t>10</w:t>
            </w:r>
          </w:p>
        </w:tc>
        <w:tc>
          <w:tcPr>
            <w:tcW w:type="dxa" w:w="1218"/>
            <w:vAlign w:val="center"/>
          </w:tcPr>
          <w:p>
            <w:r>
              <w:rPr>
                <w:sz w:val="16"/>
              </w:rPr>
              <w:t>3</w:t>
            </w:r>
          </w:p>
        </w:tc>
        <w:tc>
          <w:tcPr>
            <w:tcW w:type="dxa" w:w="1218"/>
            <w:vAlign w:val="center"/>
          </w:tcPr>
          <w:p>
            <w:r>
              <w:rPr>
                <w:sz w:val="16"/>
              </w:rPr>
              <w:t>9/1</w:t>
            </w:r>
          </w:p>
        </w:tc>
        <w:tc>
          <w:tcPr>
            <w:tcW w:type="dxa" w:w="1218"/>
            <w:vAlign w:val="center"/>
          </w:tcPr>
          <w:p>
            <w:r>
              <w:rPr>
                <w:sz w:val="16"/>
              </w:rPr>
              <w:t>125</w:t>
            </w:r>
          </w:p>
        </w:tc>
        <w:tc>
          <w:tcPr>
            <w:tcW w:type="dxa" w:w="1218"/>
            <w:vAlign w:val="center"/>
          </w:tcPr>
          <w:p>
            <w:r>
              <w:rPr>
                <w:sz w:val="16"/>
              </w:rPr>
              <w:t>10</w:t>
            </w:r>
          </w:p>
        </w:tc>
        <w:tc>
          <w:tcPr>
            <w:tcW w:type="dxa" w:w="1218"/>
            <w:vAlign w:val="center"/>
          </w:tcPr>
          <w:p>
            <w:r>
              <w:rPr>
                <w:sz w:val="16"/>
              </w:rPr>
              <w:t>56/69</w:t>
            </w:r>
          </w:p>
        </w:tc>
      </w:tr>
      <w:tr>
        <w:trPr>
          <w:cantSplit/>
        </w:trPr>
        <w:tc>
          <w:tcPr>
            <w:tcW w:type="dxa" w:w="1218"/>
            <w:vAlign w:val="center"/>
          </w:tcPr>
          <w:p>
            <w:r>
              <w:rPr>
                <w:sz w:val="16"/>
              </w:rPr>
              <w:t>READ–APC</w:t>
            </w:r>
          </w:p>
        </w:tc>
        <w:tc>
          <w:tcPr>
            <w:tcW w:type="dxa" w:w="1218"/>
            <w:vAlign w:val="center"/>
          </w:tcPr>
          <w:p>
            <w:r>
              <w:rPr>
                <w:sz w:val="16"/>
              </w:rPr>
              <w:t>3</w:t>
            </w:r>
          </w:p>
        </w:tc>
        <w:tc>
          <w:tcPr>
            <w:tcW w:type="dxa" w:w="1218"/>
            <w:vAlign w:val="center"/>
          </w:tcPr>
          <w:p>
            <w:r>
              <w:rPr>
                <w:sz w:val="16"/>
              </w:rPr>
              <w:t>30</w:t>
            </w:r>
          </w:p>
        </w:tc>
        <w:tc>
          <w:tcPr>
            <w:tcW w:type="dxa" w:w="1218"/>
            <w:vAlign w:val="center"/>
          </w:tcPr>
          <w:p>
            <w:r>
              <w:rPr>
                <w:sz w:val="16"/>
              </w:rPr>
              <w:t>3</w:t>
            </w:r>
          </w:p>
        </w:tc>
        <w:tc>
          <w:tcPr>
            <w:tcW w:type="dxa" w:w="1218"/>
            <w:vAlign w:val="center"/>
          </w:tcPr>
          <w:p>
            <w:r>
              <w:rPr>
                <w:sz w:val="16"/>
              </w:rPr>
              <w:t>25/5</w:t>
            </w:r>
          </w:p>
        </w:tc>
        <w:tc>
          <w:tcPr>
            <w:tcW w:type="dxa" w:w="1218"/>
            <w:vAlign w:val="center"/>
          </w:tcPr>
          <w:p>
            <w:r>
              <w:rPr>
                <w:sz w:val="16"/>
              </w:rPr>
              <w:t>105</w:t>
            </w:r>
          </w:p>
        </w:tc>
        <w:tc>
          <w:tcPr>
            <w:tcW w:type="dxa" w:w="1218"/>
            <w:vAlign w:val="center"/>
          </w:tcPr>
          <w:p>
            <w:r>
              <w:rPr>
                <w:sz w:val="16"/>
              </w:rPr>
              <w:t>10</w:t>
            </w:r>
          </w:p>
        </w:tc>
        <w:tc>
          <w:tcPr>
            <w:tcW w:type="dxa" w:w="1218"/>
            <w:vAlign w:val="center"/>
          </w:tcPr>
          <w:p>
            <w:r>
              <w:rPr>
                <w:sz w:val="16"/>
              </w:rPr>
              <w:t>40/65</w:t>
            </w:r>
          </w:p>
        </w:tc>
      </w:tr>
      <w:tr>
        <w:trPr>
          <w:cantSplit/>
        </w:trPr>
        <w:tc>
          <w:tcPr>
            <w:tcW w:type="dxa" w:w="1218"/>
            <w:vAlign w:val="center"/>
          </w:tcPr>
          <w:p>
            <w:r>
              <w:rPr>
                <w:sz w:val="16"/>
              </w:rPr>
              <w:t>READ–APC</w:t>
            </w:r>
          </w:p>
        </w:tc>
        <w:tc>
          <w:tcPr>
            <w:tcW w:type="dxa" w:w="1218"/>
            <w:vAlign w:val="center"/>
          </w:tcPr>
          <w:p>
            <w:r>
              <w:rPr>
                <w:sz w:val="16"/>
              </w:rPr>
              <w:t>4</w:t>
            </w:r>
          </w:p>
        </w:tc>
        <w:tc>
          <w:tcPr>
            <w:tcW w:type="dxa" w:w="1218"/>
            <w:vAlign w:val="center"/>
          </w:tcPr>
          <w:p>
            <w:r>
              <w:rPr>
                <w:sz w:val="16"/>
              </w:rPr>
              <w:t>25</w:t>
            </w:r>
          </w:p>
        </w:tc>
        <w:tc>
          <w:tcPr>
            <w:tcW w:type="dxa" w:w="1218"/>
            <w:vAlign w:val="center"/>
          </w:tcPr>
          <w:p>
            <w:r>
              <w:rPr>
                <w:sz w:val="16"/>
              </w:rPr>
              <w:t>2</w:t>
            </w:r>
          </w:p>
        </w:tc>
        <w:tc>
          <w:tcPr>
            <w:tcW w:type="dxa" w:w="1218"/>
            <w:vAlign w:val="center"/>
          </w:tcPr>
          <w:p>
            <w:r>
              <w:rPr>
                <w:sz w:val="16"/>
              </w:rPr>
              <w:t>15/10</w:t>
            </w:r>
          </w:p>
        </w:tc>
        <w:tc>
          <w:tcPr>
            <w:tcW w:type="dxa" w:w="1218"/>
            <w:vAlign w:val="center"/>
          </w:tcPr>
          <w:p>
            <w:r>
              <w:rPr>
                <w:sz w:val="16"/>
              </w:rPr>
              <w:t>110</w:t>
            </w:r>
          </w:p>
        </w:tc>
        <w:tc>
          <w:tcPr>
            <w:tcW w:type="dxa" w:w="1218"/>
            <w:vAlign w:val="center"/>
          </w:tcPr>
          <w:p>
            <w:r>
              <w:rPr>
                <w:sz w:val="16"/>
              </w:rPr>
              <w:t>11</w:t>
            </w:r>
          </w:p>
        </w:tc>
        <w:tc>
          <w:tcPr>
            <w:tcW w:type="dxa" w:w="1218"/>
            <w:vAlign w:val="center"/>
          </w:tcPr>
          <w:p>
            <w:r>
              <w:rPr>
                <w:sz w:val="16"/>
              </w:rPr>
              <w:t>50/60</w:t>
            </w:r>
          </w:p>
        </w:tc>
      </w:tr>
      <w:tr>
        <w:trPr>
          <w:cantSplit/>
        </w:trPr>
        <w:tc>
          <w:tcPr>
            <w:tcW w:type="dxa" w:w="1218"/>
            <w:vAlign w:val="center"/>
          </w:tcPr>
          <w:p>
            <w:r>
              <w:rPr>
                <w:sz w:val="16"/>
              </w:rPr>
              <w:t>READ–APC</w:t>
            </w:r>
          </w:p>
        </w:tc>
        <w:tc>
          <w:tcPr>
            <w:tcW w:type="dxa" w:w="1218"/>
            <w:vAlign w:val="center"/>
          </w:tcPr>
          <w:p>
            <w:r>
              <w:rPr>
                <w:sz w:val="16"/>
              </w:rPr>
              <w:t>5</w:t>
            </w:r>
          </w:p>
        </w:tc>
        <w:tc>
          <w:tcPr>
            <w:tcW w:type="dxa" w:w="1218"/>
            <w:vAlign w:val="center"/>
          </w:tcPr>
          <w:p>
            <w:r>
              <w:rPr>
                <w:sz w:val="16"/>
              </w:rPr>
              <w:t>65</w:t>
            </w:r>
          </w:p>
        </w:tc>
        <w:tc>
          <w:tcPr>
            <w:tcW w:type="dxa" w:w="1218"/>
            <w:vAlign w:val="center"/>
          </w:tcPr>
          <w:p>
            <w:r>
              <w:rPr>
                <w:sz w:val="16"/>
              </w:rPr>
              <w:t>2</w:t>
            </w:r>
          </w:p>
        </w:tc>
        <w:tc>
          <w:tcPr>
            <w:tcW w:type="dxa" w:w="1218"/>
            <w:vAlign w:val="center"/>
          </w:tcPr>
          <w:p>
            <w:r>
              <w:rPr>
                <w:sz w:val="16"/>
              </w:rPr>
              <w:t>12/53</w:t>
            </w:r>
          </w:p>
        </w:tc>
        <w:tc>
          <w:tcPr>
            <w:tcW w:type="dxa" w:w="1218"/>
            <w:vAlign w:val="center"/>
          </w:tcPr>
          <w:p>
            <w:r>
              <w:rPr>
                <w:sz w:val="16"/>
              </w:rPr>
              <w:t>70</w:t>
            </w:r>
          </w:p>
        </w:tc>
        <w:tc>
          <w:tcPr>
            <w:tcW w:type="dxa" w:w="1218"/>
            <w:vAlign w:val="center"/>
          </w:tcPr>
          <w:p>
            <w:r>
              <w:rPr>
                <w:sz w:val="16"/>
              </w:rPr>
              <w:t>11</w:t>
            </w:r>
          </w:p>
        </w:tc>
        <w:tc>
          <w:tcPr>
            <w:tcW w:type="dxa" w:w="1218"/>
            <w:vAlign w:val="center"/>
          </w:tcPr>
          <w:p>
            <w:r>
              <w:rPr>
                <w:sz w:val="16"/>
              </w:rPr>
              <w:t>53/17</w:t>
            </w:r>
          </w:p>
        </w:tc>
      </w:tr>
    </w:tbl>
    <w:p/>
    <w:p>
      <w:pPr>
        <w:pStyle w:val="Heading1"/>
      </w:pPr>
      <w:r>
        <w:t>Table S10d. Within-cancer prediction of TCGA tissue-source-site code from TITAN representations</w:t>
      </w:r>
    </w:p>
    <w:p>
      <w:r>
        <w:t>TCGA tissue-source-site codes represented by fewer than 10 patients were excluded only from this dedicated confounding analysis. Macro balanced accuracy is the mean recall across codes; its chance reference is 1/k for k analysed codes. Good code prediction demonstrates that the representation carries information about TCGA tissue-source-site code, but the code is not an institution, scanner, laboratory or staining-batch identifier.</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Eligible</w:t>
            </w:r>
          </w:p>
        </w:tc>
        <w:tc>
          <w:tcPr>
            <w:tcW w:type="dxa" w:w="1218"/>
          </w:tcPr>
          <w:p>
            <w:r>
              <w:rPr>
                <w:b/>
                <w:sz w:val="17"/>
              </w:rPr>
              <w:t>Analysed patients</w:t>
            </w:r>
          </w:p>
        </w:tc>
        <w:tc>
          <w:tcPr>
            <w:tcW w:type="dxa" w:w="1218"/>
          </w:tcPr>
          <w:p>
            <w:r>
              <w:rPr>
                <w:b/>
                <w:sz w:val="17"/>
              </w:rPr>
              <w:t>Analysed TSS codes</w:t>
            </w:r>
          </w:p>
        </w:tc>
        <w:tc>
          <w:tcPr>
            <w:tcW w:type="dxa" w:w="1218"/>
          </w:tcPr>
          <w:p>
            <w:r>
              <w:rPr>
                <w:b/>
                <w:sz w:val="17"/>
              </w:rPr>
              <w:t>Macro BA, mean (SD)</w:t>
            </w:r>
          </w:p>
        </w:tc>
        <w:tc>
          <w:tcPr>
            <w:tcW w:type="dxa" w:w="1218"/>
          </w:tcPr>
          <w:p>
            <w:r>
              <w:rPr>
                <w:b/>
                <w:sz w:val="17"/>
              </w:rPr>
              <w:t>Chance 1/k</w:t>
            </w:r>
          </w:p>
        </w:tc>
        <w:tc>
          <w:tcPr>
            <w:tcW w:type="dxa" w:w="1218"/>
          </w:tcPr>
          <w:p>
            <w:r>
              <w:rPr>
                <w:b/>
                <w:sz w:val="17"/>
              </w:rPr>
              <w:t>Chance-normalised BA</w:t>
            </w:r>
          </w:p>
        </w:tc>
        <w:tc>
          <w:tcPr>
            <w:tcW w:type="dxa" w:w="1218"/>
          </w:tcPr>
          <w:p>
            <w:r>
              <w:rPr>
                <w:b/>
                <w:sz w:val="17"/>
              </w:rPr>
              <w:t>Reason if ineligible</w:t>
            </w:r>
          </w:p>
        </w:tc>
      </w:tr>
      <w:tr>
        <w:trPr>
          <w:cantSplit/>
        </w:trPr>
        <w:tc>
          <w:tcPr>
            <w:tcW w:type="dxa" w:w="1218"/>
            <w:vAlign w:val="center"/>
          </w:tcPr>
          <w:p>
            <w:r>
              <w:rPr>
                <w:sz w:val="16"/>
              </w:rPr>
              <w:t>ACC</w:t>
            </w:r>
          </w:p>
        </w:tc>
        <w:tc>
          <w:tcPr>
            <w:tcW w:type="dxa" w:w="1218"/>
            <w:vAlign w:val="center"/>
          </w:tcPr>
          <w:p>
            <w:r>
              <w:rPr>
                <w:sz w:val="16"/>
              </w:rPr>
              <w:t>FALSE</w:t>
            </w:r>
          </w:p>
        </w:tc>
        <w:tc>
          <w:tcPr>
            <w:tcW w:type="dxa" w:w="1218"/>
            <w:vAlign w:val="center"/>
          </w:tcPr>
          <w:p>
            <w:r>
              <w:rPr>
                <w:sz w:val="16"/>
              </w:rPr>
              <w:t>48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BLCA</w:t>
            </w:r>
          </w:p>
        </w:tc>
        <w:tc>
          <w:tcPr>
            <w:tcW w:type="dxa" w:w="1218"/>
            <w:vAlign w:val="center"/>
          </w:tcPr>
          <w:p>
            <w:r>
              <w:rPr>
                <w:sz w:val="16"/>
              </w:rPr>
              <w:t>TRUE</w:t>
            </w:r>
          </w:p>
        </w:tc>
        <w:tc>
          <w:tcPr>
            <w:tcW w:type="dxa" w:w="1218"/>
            <w:vAlign w:val="center"/>
          </w:tcPr>
          <w:p>
            <w:r>
              <w:rPr>
                <w:sz w:val="16"/>
              </w:rPr>
              <w:t>324</w:t>
            </w:r>
          </w:p>
        </w:tc>
        <w:tc>
          <w:tcPr>
            <w:tcW w:type="dxa" w:w="1218"/>
            <w:vAlign w:val="center"/>
          </w:tcPr>
          <w:p>
            <w:r>
              <w:rPr>
                <w:sz w:val="16"/>
              </w:rPr>
              <w:t>14</w:t>
            </w:r>
          </w:p>
        </w:tc>
        <w:tc>
          <w:tcPr>
            <w:tcW w:type="dxa" w:w="1218"/>
            <w:vAlign w:val="center"/>
          </w:tcPr>
          <w:p>
            <w:r>
              <w:rPr>
                <w:sz w:val="16"/>
              </w:rPr>
              <w:t>0.425 (0.015)</w:t>
            </w:r>
          </w:p>
        </w:tc>
        <w:tc>
          <w:tcPr>
            <w:tcW w:type="dxa" w:w="1218"/>
            <w:vAlign w:val="center"/>
          </w:tcPr>
          <w:p>
            <w:r>
              <w:rPr>
                <w:sz w:val="16"/>
              </w:rPr>
              <w:t>0.071</w:t>
            </w:r>
          </w:p>
        </w:tc>
        <w:tc>
          <w:tcPr>
            <w:tcW w:type="dxa" w:w="1218"/>
            <w:vAlign w:val="center"/>
          </w:tcPr>
          <w:p>
            <w:r>
              <w:rPr>
                <w:sz w:val="16"/>
              </w:rPr>
              <w:t>0.381</w:t>
            </w:r>
          </w:p>
        </w:tc>
        <w:tc>
          <w:tcPr>
            <w:tcW w:type="dxa" w:w="1218"/>
            <w:vAlign w:val="center"/>
          </w:tcPr>
          <w:p>
            <w:r>
              <w:rPr>
                <w:sz w:val="16"/>
              </w:rPr>
            </w:r>
          </w:p>
        </w:tc>
      </w:tr>
      <w:tr>
        <w:trPr>
          <w:cantSplit/>
        </w:trPr>
        <w:tc>
          <w:tcPr>
            <w:tcW w:type="dxa" w:w="1218"/>
            <w:vAlign w:val="center"/>
          </w:tcPr>
          <w:p>
            <w:r>
              <w:rPr>
                <w:sz w:val="16"/>
              </w:rPr>
              <w:t>BRCA</w:t>
            </w:r>
          </w:p>
        </w:tc>
        <w:tc>
          <w:tcPr>
            <w:tcW w:type="dxa" w:w="1218"/>
            <w:vAlign w:val="center"/>
          </w:tcPr>
          <w:p>
            <w:r>
              <w:rPr>
                <w:sz w:val="16"/>
              </w:rPr>
              <w:t>TRUE</w:t>
            </w:r>
          </w:p>
        </w:tc>
        <w:tc>
          <w:tcPr>
            <w:tcW w:type="dxa" w:w="1218"/>
            <w:vAlign w:val="center"/>
          </w:tcPr>
          <w:p>
            <w:r>
              <w:rPr>
                <w:sz w:val="16"/>
              </w:rPr>
              <w:t>1010</w:t>
            </w:r>
          </w:p>
        </w:tc>
        <w:tc>
          <w:tcPr>
            <w:tcW w:type="dxa" w:w="1218"/>
            <w:vAlign w:val="center"/>
          </w:tcPr>
          <w:p>
            <w:r>
              <w:rPr>
                <w:sz w:val="16"/>
              </w:rPr>
              <w:t>19</w:t>
            </w:r>
          </w:p>
        </w:tc>
        <w:tc>
          <w:tcPr>
            <w:tcW w:type="dxa" w:w="1218"/>
            <w:vAlign w:val="center"/>
          </w:tcPr>
          <w:p>
            <w:r>
              <w:rPr>
                <w:sz w:val="16"/>
              </w:rPr>
              <w:t>0.460 (0.004)</w:t>
            </w:r>
          </w:p>
        </w:tc>
        <w:tc>
          <w:tcPr>
            <w:tcW w:type="dxa" w:w="1218"/>
            <w:vAlign w:val="center"/>
          </w:tcPr>
          <w:p>
            <w:r>
              <w:rPr>
                <w:sz w:val="16"/>
              </w:rPr>
              <w:t>0.053</w:t>
            </w:r>
          </w:p>
        </w:tc>
        <w:tc>
          <w:tcPr>
            <w:tcW w:type="dxa" w:w="1218"/>
            <w:vAlign w:val="center"/>
          </w:tcPr>
          <w:p>
            <w:r>
              <w:rPr>
                <w:sz w:val="16"/>
              </w:rPr>
              <w:t>0.430</w:t>
            </w:r>
          </w:p>
        </w:tc>
        <w:tc>
          <w:tcPr>
            <w:tcW w:type="dxa" w:w="1218"/>
            <w:vAlign w:val="center"/>
          </w:tcPr>
          <w:p>
            <w:r>
              <w:rPr>
                <w:sz w:val="16"/>
              </w:rPr>
            </w:r>
          </w:p>
        </w:tc>
      </w:tr>
      <w:tr>
        <w:trPr>
          <w:cantSplit/>
        </w:trPr>
        <w:tc>
          <w:tcPr>
            <w:tcW w:type="dxa" w:w="1218"/>
            <w:vAlign w:val="center"/>
          </w:tcPr>
          <w:p>
            <w:r>
              <w:rPr>
                <w:sz w:val="16"/>
              </w:rPr>
              <w:t>CESC</w:t>
            </w:r>
          </w:p>
        </w:tc>
        <w:tc>
          <w:tcPr>
            <w:tcW w:type="dxa" w:w="1218"/>
            <w:vAlign w:val="center"/>
          </w:tcPr>
          <w:p>
            <w:r>
              <w:rPr>
                <w:sz w:val="16"/>
              </w:rPr>
              <w:t>TRUE</w:t>
            </w:r>
          </w:p>
        </w:tc>
        <w:tc>
          <w:tcPr>
            <w:tcW w:type="dxa" w:w="1218"/>
            <w:vAlign w:val="center"/>
          </w:tcPr>
          <w:p>
            <w:r>
              <w:rPr>
                <w:sz w:val="16"/>
              </w:rPr>
              <w:t>194</w:t>
            </w:r>
          </w:p>
        </w:tc>
        <w:tc>
          <w:tcPr>
            <w:tcW w:type="dxa" w:w="1218"/>
            <w:vAlign w:val="center"/>
          </w:tcPr>
          <w:p>
            <w:r>
              <w:rPr>
                <w:sz w:val="16"/>
              </w:rPr>
              <w:t>7</w:t>
            </w:r>
          </w:p>
        </w:tc>
        <w:tc>
          <w:tcPr>
            <w:tcW w:type="dxa" w:w="1218"/>
            <w:vAlign w:val="center"/>
          </w:tcPr>
          <w:p>
            <w:r>
              <w:rPr>
                <w:sz w:val="16"/>
              </w:rPr>
              <w:t>0.632 (0.026)</w:t>
            </w:r>
          </w:p>
        </w:tc>
        <w:tc>
          <w:tcPr>
            <w:tcW w:type="dxa" w:w="1218"/>
            <w:vAlign w:val="center"/>
          </w:tcPr>
          <w:p>
            <w:r>
              <w:rPr>
                <w:sz w:val="16"/>
              </w:rPr>
              <w:t>0.143</w:t>
            </w:r>
          </w:p>
        </w:tc>
        <w:tc>
          <w:tcPr>
            <w:tcW w:type="dxa" w:w="1218"/>
            <w:vAlign w:val="center"/>
          </w:tcPr>
          <w:p>
            <w:r>
              <w:rPr>
                <w:sz w:val="16"/>
              </w:rPr>
              <w:t>0.571</w:t>
            </w:r>
          </w:p>
        </w:tc>
        <w:tc>
          <w:tcPr>
            <w:tcW w:type="dxa" w:w="1218"/>
            <w:vAlign w:val="center"/>
          </w:tcPr>
          <w:p>
            <w:r>
              <w:rPr>
                <w:sz w:val="16"/>
              </w:rPr>
            </w:r>
          </w:p>
        </w:tc>
      </w:tr>
      <w:tr>
        <w:trPr>
          <w:cantSplit/>
        </w:trPr>
        <w:tc>
          <w:tcPr>
            <w:tcW w:type="dxa" w:w="1218"/>
            <w:vAlign w:val="center"/>
          </w:tcPr>
          <w:p>
            <w:r>
              <w:rPr>
                <w:sz w:val="16"/>
              </w:rPr>
              <w:t>CHOL</w:t>
            </w:r>
          </w:p>
        </w:tc>
        <w:tc>
          <w:tcPr>
            <w:tcW w:type="dxa" w:w="1218"/>
            <w:vAlign w:val="center"/>
          </w:tcPr>
          <w:p>
            <w:r>
              <w:rPr>
                <w:sz w:val="16"/>
              </w:rPr>
              <w:t>FALSE</w:t>
            </w:r>
          </w:p>
        </w:tc>
        <w:tc>
          <w:tcPr>
            <w:tcW w:type="dxa" w:w="1218"/>
            <w:vAlign w:val="center"/>
          </w:tcPr>
          <w:p>
            <w:r>
              <w:rPr>
                <w:sz w:val="16"/>
              </w:rPr>
              <w:t>18</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COAD</w:t>
            </w:r>
          </w:p>
        </w:tc>
        <w:tc>
          <w:tcPr>
            <w:tcW w:type="dxa" w:w="1218"/>
            <w:vAlign w:val="center"/>
          </w:tcPr>
          <w:p>
            <w:r>
              <w:rPr>
                <w:sz w:val="16"/>
              </w:rPr>
              <w:t>TRUE</w:t>
            </w:r>
          </w:p>
        </w:tc>
        <w:tc>
          <w:tcPr>
            <w:tcW w:type="dxa" w:w="1218"/>
            <w:vAlign w:val="center"/>
          </w:tcPr>
          <w:p>
            <w:r>
              <w:rPr>
                <w:sz w:val="16"/>
              </w:rPr>
              <w:t>404</w:t>
            </w:r>
          </w:p>
        </w:tc>
        <w:tc>
          <w:tcPr>
            <w:tcW w:type="dxa" w:w="1218"/>
            <w:vAlign w:val="center"/>
          </w:tcPr>
          <w:p>
            <w:r>
              <w:rPr>
                <w:sz w:val="16"/>
              </w:rPr>
              <w:t>12</w:t>
            </w:r>
          </w:p>
        </w:tc>
        <w:tc>
          <w:tcPr>
            <w:tcW w:type="dxa" w:w="1218"/>
            <w:vAlign w:val="center"/>
          </w:tcPr>
          <w:p>
            <w:r>
              <w:rPr>
                <w:sz w:val="16"/>
              </w:rPr>
              <w:t>0.598 (0.022)</w:t>
            </w:r>
          </w:p>
        </w:tc>
        <w:tc>
          <w:tcPr>
            <w:tcW w:type="dxa" w:w="1218"/>
            <w:vAlign w:val="center"/>
          </w:tcPr>
          <w:p>
            <w:r>
              <w:rPr>
                <w:sz w:val="16"/>
              </w:rPr>
              <w:t>0.083</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DLBC</w:t>
            </w:r>
          </w:p>
        </w:tc>
        <w:tc>
          <w:tcPr>
            <w:tcW w:type="dxa" w:w="1218"/>
            <w:vAlign w:val="center"/>
          </w:tcPr>
          <w:p>
            <w:r>
              <w:rPr>
                <w:sz w:val="16"/>
              </w:rPr>
              <w:t>FALSE</w:t>
            </w:r>
          </w:p>
        </w:tc>
        <w:tc>
          <w:tcPr>
            <w:tcW w:type="dxa" w:w="1218"/>
            <w:vAlign w:val="center"/>
          </w:tcPr>
          <w:p>
            <w:r>
              <w:rPr>
                <w:sz w:val="16"/>
              </w:rPr>
              <w:t>10</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ESCA</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7</w:t>
            </w:r>
          </w:p>
        </w:tc>
        <w:tc>
          <w:tcPr>
            <w:tcW w:type="dxa" w:w="1218"/>
            <w:vAlign w:val="center"/>
          </w:tcPr>
          <w:p>
            <w:r>
              <w:rPr>
                <w:sz w:val="16"/>
              </w:rPr>
              <w:t>0.861 (0.011)</w:t>
            </w:r>
          </w:p>
        </w:tc>
        <w:tc>
          <w:tcPr>
            <w:tcW w:type="dxa" w:w="1218"/>
            <w:vAlign w:val="center"/>
          </w:tcPr>
          <w:p>
            <w:r>
              <w:rPr>
                <w:sz w:val="16"/>
              </w:rPr>
              <w:t>0.143</w:t>
            </w:r>
          </w:p>
        </w:tc>
        <w:tc>
          <w:tcPr>
            <w:tcW w:type="dxa" w:w="1218"/>
            <w:vAlign w:val="center"/>
          </w:tcPr>
          <w:p>
            <w:r>
              <w:rPr>
                <w:sz w:val="16"/>
              </w:rPr>
              <w:t>0.837</w:t>
            </w:r>
          </w:p>
        </w:tc>
        <w:tc>
          <w:tcPr>
            <w:tcW w:type="dxa" w:w="1218"/>
            <w:vAlign w:val="center"/>
          </w:tcPr>
          <w:p>
            <w:r>
              <w:rPr>
                <w:sz w:val="16"/>
              </w:rPr>
            </w:r>
          </w:p>
        </w:tc>
      </w:tr>
      <w:tr>
        <w:trPr>
          <w:cantSplit/>
        </w:trPr>
        <w:tc>
          <w:tcPr>
            <w:tcW w:type="dxa" w:w="1218"/>
            <w:vAlign w:val="center"/>
          </w:tcPr>
          <w:p>
            <w:r>
              <w:rPr>
                <w:sz w:val="16"/>
              </w:rPr>
              <w:t>GBM</w:t>
            </w:r>
          </w:p>
        </w:tc>
        <w:tc>
          <w:tcPr>
            <w:tcW w:type="dxa" w:w="1218"/>
            <w:vAlign w:val="center"/>
          </w:tcPr>
          <w:p>
            <w:r>
              <w:rPr>
                <w:sz w:val="16"/>
              </w:rPr>
              <w:t>TRUE</w:t>
            </w:r>
          </w:p>
        </w:tc>
        <w:tc>
          <w:tcPr>
            <w:tcW w:type="dxa" w:w="1218"/>
            <w:vAlign w:val="center"/>
          </w:tcPr>
          <w:p>
            <w:r>
              <w:rPr>
                <w:sz w:val="16"/>
              </w:rPr>
              <w:t>351</w:t>
            </w:r>
          </w:p>
        </w:tc>
        <w:tc>
          <w:tcPr>
            <w:tcW w:type="dxa" w:w="1218"/>
            <w:vAlign w:val="center"/>
          </w:tcPr>
          <w:p>
            <w:r>
              <w:rPr>
                <w:sz w:val="16"/>
              </w:rPr>
              <w:t>8</w:t>
            </w:r>
          </w:p>
        </w:tc>
        <w:tc>
          <w:tcPr>
            <w:tcW w:type="dxa" w:w="1218"/>
            <w:vAlign w:val="center"/>
          </w:tcPr>
          <w:p>
            <w:r>
              <w:rPr>
                <w:sz w:val="16"/>
              </w:rPr>
              <w:t>0.667 (0.022)</w:t>
            </w:r>
          </w:p>
        </w:tc>
        <w:tc>
          <w:tcPr>
            <w:tcW w:type="dxa" w:w="1218"/>
            <w:vAlign w:val="center"/>
          </w:tcPr>
          <w:p>
            <w:r>
              <w:rPr>
                <w:sz w:val="16"/>
              </w:rPr>
              <w:t>0.125</w:t>
            </w:r>
          </w:p>
        </w:tc>
        <w:tc>
          <w:tcPr>
            <w:tcW w:type="dxa" w:w="1218"/>
            <w:vAlign w:val="center"/>
          </w:tcPr>
          <w:p>
            <w:r>
              <w:rPr>
                <w:sz w:val="16"/>
              </w:rPr>
              <w:t>0.619</w:t>
            </w:r>
          </w:p>
        </w:tc>
        <w:tc>
          <w:tcPr>
            <w:tcW w:type="dxa" w:w="1218"/>
            <w:vAlign w:val="center"/>
          </w:tcPr>
          <w:p>
            <w:r>
              <w:rPr>
                <w:sz w:val="16"/>
              </w:rPr>
            </w:r>
          </w:p>
        </w:tc>
      </w:tr>
      <w:tr>
        <w:trPr>
          <w:cantSplit/>
        </w:trPr>
        <w:tc>
          <w:tcPr>
            <w:tcW w:type="dxa" w:w="1218"/>
            <w:vAlign w:val="center"/>
          </w:tcPr>
          <w:p>
            <w:r>
              <w:rPr>
                <w:sz w:val="16"/>
              </w:rPr>
              <w:t>HNSC</w:t>
            </w:r>
          </w:p>
        </w:tc>
        <w:tc>
          <w:tcPr>
            <w:tcW w:type="dxa" w:w="1218"/>
            <w:vAlign w:val="center"/>
          </w:tcPr>
          <w:p>
            <w:r>
              <w:rPr>
                <w:sz w:val="16"/>
              </w:rPr>
              <w:t>TRUE</w:t>
            </w:r>
          </w:p>
        </w:tc>
        <w:tc>
          <w:tcPr>
            <w:tcW w:type="dxa" w:w="1218"/>
            <w:vAlign w:val="center"/>
          </w:tcPr>
          <w:p>
            <w:r>
              <w:rPr>
                <w:sz w:val="16"/>
              </w:rPr>
              <w:t>412</w:t>
            </w:r>
          </w:p>
        </w:tc>
        <w:tc>
          <w:tcPr>
            <w:tcW w:type="dxa" w:w="1218"/>
            <w:vAlign w:val="center"/>
          </w:tcPr>
          <w:p>
            <w:r>
              <w:rPr>
                <w:sz w:val="16"/>
              </w:rPr>
              <w:t>13</w:t>
            </w:r>
          </w:p>
        </w:tc>
        <w:tc>
          <w:tcPr>
            <w:tcW w:type="dxa" w:w="1218"/>
            <w:vAlign w:val="center"/>
          </w:tcPr>
          <w:p>
            <w:r>
              <w:rPr>
                <w:sz w:val="16"/>
              </w:rPr>
              <w:t>0.454 (0.013)</w:t>
            </w:r>
          </w:p>
        </w:tc>
        <w:tc>
          <w:tcPr>
            <w:tcW w:type="dxa" w:w="1218"/>
            <w:vAlign w:val="center"/>
          </w:tcPr>
          <w:p>
            <w:r>
              <w:rPr>
                <w:sz w:val="16"/>
              </w:rPr>
              <w:t>0.077</w:t>
            </w:r>
          </w:p>
        </w:tc>
        <w:tc>
          <w:tcPr>
            <w:tcW w:type="dxa" w:w="1218"/>
            <w:vAlign w:val="center"/>
          </w:tcPr>
          <w:p>
            <w:r>
              <w:rPr>
                <w:sz w:val="16"/>
              </w:rPr>
              <w:t>0.408</w:t>
            </w:r>
          </w:p>
        </w:tc>
        <w:tc>
          <w:tcPr>
            <w:tcW w:type="dxa" w:w="1218"/>
            <w:vAlign w:val="center"/>
          </w:tcPr>
          <w:p>
            <w:r>
              <w:rPr>
                <w:sz w:val="16"/>
              </w:rPr>
            </w:r>
          </w:p>
        </w:tc>
      </w:tr>
      <w:tr>
        <w:trPr>
          <w:cantSplit/>
        </w:trPr>
        <w:tc>
          <w:tcPr>
            <w:tcW w:type="dxa" w:w="1218"/>
            <w:vAlign w:val="center"/>
          </w:tcPr>
          <w:p>
            <w:r>
              <w:rPr>
                <w:sz w:val="16"/>
              </w:rPr>
              <w:t>KICH</w:t>
            </w:r>
          </w:p>
        </w:tc>
        <w:tc>
          <w:tcPr>
            <w:tcW w:type="dxa" w:w="1218"/>
            <w:vAlign w:val="center"/>
          </w:tcPr>
          <w:p>
            <w:r>
              <w:rPr>
                <w:sz w:val="16"/>
              </w:rPr>
              <w:t>TRUE</w:t>
            </w:r>
          </w:p>
        </w:tc>
        <w:tc>
          <w:tcPr>
            <w:tcW w:type="dxa" w:w="1218"/>
            <w:vAlign w:val="center"/>
          </w:tcPr>
          <w:p>
            <w:r>
              <w:rPr>
                <w:sz w:val="16"/>
              </w:rPr>
              <w:t>101</w:t>
            </w:r>
          </w:p>
        </w:tc>
        <w:tc>
          <w:tcPr>
            <w:tcW w:type="dxa" w:w="1218"/>
            <w:vAlign w:val="center"/>
          </w:tcPr>
          <w:p>
            <w:r>
              <w:rPr>
                <w:sz w:val="16"/>
              </w:rPr>
              <w:t>5</w:t>
            </w:r>
          </w:p>
        </w:tc>
        <w:tc>
          <w:tcPr>
            <w:tcW w:type="dxa" w:w="1218"/>
            <w:vAlign w:val="center"/>
          </w:tcPr>
          <w:p>
            <w:r>
              <w:rPr>
                <w:sz w:val="16"/>
              </w:rPr>
              <w:t>0.688 (0.037)</w:t>
            </w:r>
          </w:p>
        </w:tc>
        <w:tc>
          <w:tcPr>
            <w:tcW w:type="dxa" w:w="1218"/>
            <w:vAlign w:val="center"/>
          </w:tcPr>
          <w:p>
            <w:r>
              <w:rPr>
                <w:sz w:val="16"/>
              </w:rPr>
              <w:t>0.200</w:t>
            </w:r>
          </w:p>
        </w:tc>
        <w:tc>
          <w:tcPr>
            <w:tcW w:type="dxa" w:w="1218"/>
            <w:vAlign w:val="center"/>
          </w:tcPr>
          <w:p>
            <w:r>
              <w:rPr>
                <w:sz w:val="16"/>
              </w:rPr>
              <w:t>0.610</w:t>
            </w:r>
          </w:p>
        </w:tc>
        <w:tc>
          <w:tcPr>
            <w:tcW w:type="dxa" w:w="1218"/>
            <w:vAlign w:val="center"/>
          </w:tcPr>
          <w:p>
            <w:r>
              <w:rPr>
                <w:sz w:val="16"/>
              </w:rPr>
            </w:r>
          </w:p>
        </w:tc>
      </w:tr>
      <w:tr>
        <w:trPr>
          <w:cantSplit/>
        </w:trPr>
        <w:tc>
          <w:tcPr>
            <w:tcW w:type="dxa" w:w="1218"/>
            <w:vAlign w:val="center"/>
          </w:tcPr>
          <w:p>
            <w:r>
              <w:rPr>
                <w:sz w:val="16"/>
              </w:rPr>
              <w:t>KIRC</w:t>
            </w:r>
          </w:p>
        </w:tc>
        <w:tc>
          <w:tcPr>
            <w:tcW w:type="dxa" w:w="1218"/>
            <w:vAlign w:val="center"/>
          </w:tcPr>
          <w:p>
            <w:r>
              <w:rPr>
                <w:sz w:val="16"/>
              </w:rPr>
              <w:t>TRUE</w:t>
            </w:r>
          </w:p>
        </w:tc>
        <w:tc>
          <w:tcPr>
            <w:tcW w:type="dxa" w:w="1218"/>
            <w:vAlign w:val="center"/>
          </w:tcPr>
          <w:p>
            <w:r>
              <w:rPr>
                <w:sz w:val="16"/>
              </w:rPr>
              <w:t>488</w:t>
            </w:r>
          </w:p>
        </w:tc>
        <w:tc>
          <w:tcPr>
            <w:tcW w:type="dxa" w:w="1218"/>
            <w:vAlign w:val="center"/>
          </w:tcPr>
          <w:p>
            <w:r>
              <w:rPr>
                <w:sz w:val="16"/>
              </w:rPr>
              <w:t>9</w:t>
            </w:r>
          </w:p>
        </w:tc>
        <w:tc>
          <w:tcPr>
            <w:tcW w:type="dxa" w:w="1218"/>
            <w:vAlign w:val="center"/>
          </w:tcPr>
          <w:p>
            <w:r>
              <w:rPr>
                <w:sz w:val="16"/>
              </w:rPr>
              <w:t>0.609 (0.032)</w:t>
            </w:r>
          </w:p>
        </w:tc>
        <w:tc>
          <w:tcPr>
            <w:tcW w:type="dxa" w:w="1218"/>
            <w:vAlign w:val="center"/>
          </w:tcPr>
          <w:p>
            <w:r>
              <w:rPr>
                <w:sz w:val="16"/>
              </w:rPr>
              <w:t>0.111</w:t>
            </w:r>
          </w:p>
        </w:tc>
        <w:tc>
          <w:tcPr>
            <w:tcW w:type="dxa" w:w="1218"/>
            <w:vAlign w:val="center"/>
          </w:tcPr>
          <w:p>
            <w:r>
              <w:rPr>
                <w:sz w:val="16"/>
              </w:rPr>
              <w:t>0.561</w:t>
            </w:r>
          </w:p>
        </w:tc>
        <w:tc>
          <w:tcPr>
            <w:tcW w:type="dxa" w:w="1218"/>
            <w:vAlign w:val="center"/>
          </w:tcPr>
          <w:p>
            <w:r>
              <w:rPr>
                <w:sz w:val="16"/>
              </w:rPr>
            </w:r>
          </w:p>
        </w:tc>
      </w:tr>
      <w:tr>
        <w:trPr>
          <w:cantSplit/>
        </w:trPr>
        <w:tc>
          <w:tcPr>
            <w:tcW w:type="dxa" w:w="1218"/>
            <w:vAlign w:val="center"/>
          </w:tcPr>
          <w:p>
            <w:r>
              <w:rPr>
                <w:sz w:val="16"/>
              </w:rPr>
              <w:t>KIRP</w:t>
            </w:r>
          </w:p>
        </w:tc>
        <w:tc>
          <w:tcPr>
            <w:tcW w:type="dxa" w:w="1218"/>
            <w:vAlign w:val="center"/>
          </w:tcPr>
          <w:p>
            <w:r>
              <w:rPr>
                <w:sz w:val="16"/>
              </w:rPr>
              <w:t>TRUE</w:t>
            </w:r>
          </w:p>
        </w:tc>
        <w:tc>
          <w:tcPr>
            <w:tcW w:type="dxa" w:w="1218"/>
            <w:vAlign w:val="center"/>
          </w:tcPr>
          <w:p>
            <w:r>
              <w:rPr>
                <w:sz w:val="16"/>
              </w:rPr>
              <w:t>184</w:t>
            </w:r>
          </w:p>
        </w:tc>
        <w:tc>
          <w:tcPr>
            <w:tcW w:type="dxa" w:w="1218"/>
            <w:vAlign w:val="center"/>
          </w:tcPr>
          <w:p>
            <w:r>
              <w:rPr>
                <w:sz w:val="16"/>
              </w:rPr>
              <w:t>10</w:t>
            </w:r>
          </w:p>
        </w:tc>
        <w:tc>
          <w:tcPr>
            <w:tcW w:type="dxa" w:w="1218"/>
            <w:vAlign w:val="center"/>
          </w:tcPr>
          <w:p>
            <w:r>
              <w:rPr>
                <w:sz w:val="16"/>
              </w:rPr>
              <w:t>0.600 (0.032)</w:t>
            </w:r>
          </w:p>
        </w:tc>
        <w:tc>
          <w:tcPr>
            <w:tcW w:type="dxa" w:w="1218"/>
            <w:vAlign w:val="center"/>
          </w:tcPr>
          <w:p>
            <w:r>
              <w:rPr>
                <w:sz w:val="16"/>
              </w:rPr>
              <w:t>0.100</w:t>
            </w:r>
          </w:p>
        </w:tc>
        <w:tc>
          <w:tcPr>
            <w:tcW w:type="dxa" w:w="1218"/>
            <w:vAlign w:val="center"/>
          </w:tcPr>
          <w:p>
            <w:r>
              <w:rPr>
                <w:sz w:val="16"/>
              </w:rPr>
              <w:t>0.555</w:t>
            </w:r>
          </w:p>
        </w:tc>
        <w:tc>
          <w:tcPr>
            <w:tcW w:type="dxa" w:w="1218"/>
            <w:vAlign w:val="center"/>
          </w:tcPr>
          <w:p>
            <w:r>
              <w:rPr>
                <w:sz w:val="16"/>
              </w:rPr>
            </w:r>
          </w:p>
        </w:tc>
      </w:tr>
      <w:tr>
        <w:trPr>
          <w:cantSplit/>
        </w:trPr>
        <w:tc>
          <w:tcPr>
            <w:tcW w:type="dxa" w:w="1218"/>
            <w:vAlign w:val="center"/>
          </w:tcPr>
          <w:p>
            <w:r>
              <w:rPr>
                <w:sz w:val="16"/>
              </w:rPr>
              <w:t>LGG</w:t>
            </w:r>
          </w:p>
        </w:tc>
        <w:tc>
          <w:tcPr>
            <w:tcW w:type="dxa" w:w="1218"/>
            <w:vAlign w:val="center"/>
          </w:tcPr>
          <w:p>
            <w:r>
              <w:rPr>
                <w:sz w:val="16"/>
              </w:rPr>
              <w:t>TRUE</w:t>
            </w:r>
          </w:p>
        </w:tc>
        <w:tc>
          <w:tcPr>
            <w:tcW w:type="dxa" w:w="1218"/>
            <w:vAlign w:val="center"/>
          </w:tcPr>
          <w:p>
            <w:r>
              <w:rPr>
                <w:sz w:val="16"/>
              </w:rPr>
              <w:t>451</w:t>
            </w:r>
          </w:p>
        </w:tc>
        <w:tc>
          <w:tcPr>
            <w:tcW w:type="dxa" w:w="1218"/>
            <w:vAlign w:val="center"/>
          </w:tcPr>
          <w:p>
            <w:r>
              <w:rPr>
                <w:sz w:val="16"/>
              </w:rPr>
              <w:t>13</w:t>
            </w:r>
          </w:p>
        </w:tc>
        <w:tc>
          <w:tcPr>
            <w:tcW w:type="dxa" w:w="1218"/>
            <w:vAlign w:val="center"/>
          </w:tcPr>
          <w:p>
            <w:r>
              <w:rPr>
                <w:sz w:val="16"/>
              </w:rPr>
              <w:t>0.539 (0.020)</w:t>
            </w:r>
          </w:p>
        </w:tc>
        <w:tc>
          <w:tcPr>
            <w:tcW w:type="dxa" w:w="1218"/>
            <w:vAlign w:val="center"/>
          </w:tcPr>
          <w:p>
            <w:r>
              <w:rPr>
                <w:sz w:val="16"/>
              </w:rPr>
              <w:t>0.077</w:t>
            </w:r>
          </w:p>
        </w:tc>
        <w:tc>
          <w:tcPr>
            <w:tcW w:type="dxa" w:w="1218"/>
            <w:vAlign w:val="center"/>
          </w:tcPr>
          <w:p>
            <w:r>
              <w:rPr>
                <w:sz w:val="16"/>
              </w:rPr>
              <w:t>0.501</w:t>
            </w:r>
          </w:p>
        </w:tc>
        <w:tc>
          <w:tcPr>
            <w:tcW w:type="dxa" w:w="1218"/>
            <w:vAlign w:val="center"/>
          </w:tcPr>
          <w:p>
            <w:r>
              <w:rPr>
                <w:sz w:val="16"/>
              </w:rPr>
            </w:r>
          </w:p>
        </w:tc>
      </w:tr>
      <w:tr>
        <w:trPr>
          <w:cantSplit/>
        </w:trPr>
        <w:tc>
          <w:tcPr>
            <w:tcW w:type="dxa" w:w="1218"/>
            <w:vAlign w:val="center"/>
          </w:tcPr>
          <w:p>
            <w:r>
              <w:rPr>
                <w:sz w:val="16"/>
              </w:rPr>
              <w:t>LIHC</w:t>
            </w:r>
          </w:p>
        </w:tc>
        <w:tc>
          <w:tcPr>
            <w:tcW w:type="dxa" w:w="1218"/>
            <w:vAlign w:val="center"/>
          </w:tcPr>
          <w:p>
            <w:r>
              <w:rPr>
                <w:sz w:val="16"/>
              </w:rPr>
              <w:t>TRUE</w:t>
            </w:r>
          </w:p>
        </w:tc>
        <w:tc>
          <w:tcPr>
            <w:tcW w:type="dxa" w:w="1218"/>
            <w:vAlign w:val="center"/>
          </w:tcPr>
          <w:p>
            <w:r>
              <w:rPr>
                <w:sz w:val="16"/>
              </w:rPr>
              <w:t>280</w:t>
            </w:r>
          </w:p>
        </w:tc>
        <w:tc>
          <w:tcPr>
            <w:tcW w:type="dxa" w:w="1218"/>
            <w:vAlign w:val="center"/>
          </w:tcPr>
          <w:p>
            <w:r>
              <w:rPr>
                <w:sz w:val="16"/>
              </w:rPr>
              <w:t>7</w:t>
            </w:r>
          </w:p>
        </w:tc>
        <w:tc>
          <w:tcPr>
            <w:tcW w:type="dxa" w:w="1218"/>
            <w:vAlign w:val="center"/>
          </w:tcPr>
          <w:p>
            <w:r>
              <w:rPr>
                <w:sz w:val="16"/>
              </w:rPr>
              <w:t>0.635 (0.025)</w:t>
            </w:r>
          </w:p>
        </w:tc>
        <w:tc>
          <w:tcPr>
            <w:tcW w:type="dxa" w:w="1218"/>
            <w:vAlign w:val="center"/>
          </w:tcPr>
          <w:p>
            <w:r>
              <w:rPr>
                <w:sz w:val="16"/>
              </w:rPr>
              <w:t>0.143</w:t>
            </w:r>
          </w:p>
        </w:tc>
        <w:tc>
          <w:tcPr>
            <w:tcW w:type="dxa" w:w="1218"/>
            <w:vAlign w:val="center"/>
          </w:tcPr>
          <w:p>
            <w:r>
              <w:rPr>
                <w:sz w:val="16"/>
              </w:rPr>
              <w:t>0.574</w:t>
            </w:r>
          </w:p>
        </w:tc>
        <w:tc>
          <w:tcPr>
            <w:tcW w:type="dxa" w:w="1218"/>
            <w:vAlign w:val="center"/>
          </w:tcPr>
          <w:p>
            <w:r>
              <w:rPr>
                <w:sz w:val="16"/>
              </w:rPr>
            </w:r>
          </w:p>
        </w:tc>
      </w:tr>
      <w:tr>
        <w:trPr>
          <w:cantSplit/>
        </w:trPr>
        <w:tc>
          <w:tcPr>
            <w:tcW w:type="dxa" w:w="1218"/>
            <w:vAlign w:val="center"/>
          </w:tcPr>
          <w:p>
            <w:r>
              <w:rPr>
                <w:sz w:val="16"/>
              </w:rPr>
              <w:t>LUAD</w:t>
            </w:r>
          </w:p>
        </w:tc>
        <w:tc>
          <w:tcPr>
            <w:tcW w:type="dxa" w:w="1218"/>
            <w:vAlign w:val="center"/>
          </w:tcPr>
          <w:p>
            <w:r>
              <w:rPr>
                <w:sz w:val="16"/>
              </w:rPr>
              <w:t>TRUE</w:t>
            </w:r>
          </w:p>
        </w:tc>
        <w:tc>
          <w:tcPr>
            <w:tcW w:type="dxa" w:w="1218"/>
            <w:vAlign w:val="center"/>
          </w:tcPr>
          <w:p>
            <w:r>
              <w:rPr>
                <w:sz w:val="16"/>
              </w:rPr>
              <w:t>392</w:t>
            </w:r>
          </w:p>
        </w:tc>
        <w:tc>
          <w:tcPr>
            <w:tcW w:type="dxa" w:w="1218"/>
            <w:vAlign w:val="center"/>
          </w:tcPr>
          <w:p>
            <w:r>
              <w:rPr>
                <w:sz w:val="16"/>
              </w:rPr>
              <w:t>15</w:t>
            </w:r>
          </w:p>
        </w:tc>
        <w:tc>
          <w:tcPr>
            <w:tcW w:type="dxa" w:w="1218"/>
            <w:vAlign w:val="center"/>
          </w:tcPr>
          <w:p>
            <w:r>
              <w:rPr>
                <w:sz w:val="16"/>
              </w:rPr>
              <w:t>0.465 (0.013)</w:t>
            </w:r>
          </w:p>
        </w:tc>
        <w:tc>
          <w:tcPr>
            <w:tcW w:type="dxa" w:w="1218"/>
            <w:vAlign w:val="center"/>
          </w:tcPr>
          <w:p>
            <w:r>
              <w:rPr>
                <w:sz w:val="16"/>
              </w:rPr>
              <w:t>0.067</w:t>
            </w:r>
          </w:p>
        </w:tc>
        <w:tc>
          <w:tcPr>
            <w:tcW w:type="dxa" w:w="1218"/>
            <w:vAlign w:val="center"/>
          </w:tcPr>
          <w:p>
            <w:r>
              <w:rPr>
                <w:sz w:val="16"/>
              </w:rPr>
              <w:t>0.427</w:t>
            </w:r>
          </w:p>
        </w:tc>
        <w:tc>
          <w:tcPr>
            <w:tcW w:type="dxa" w:w="1218"/>
            <w:vAlign w:val="center"/>
          </w:tcPr>
          <w:p>
            <w:r>
              <w:rPr>
                <w:sz w:val="16"/>
              </w:rPr>
            </w:r>
          </w:p>
        </w:tc>
      </w:tr>
      <w:tr>
        <w:trPr>
          <w:cantSplit/>
        </w:trPr>
        <w:tc>
          <w:tcPr>
            <w:tcW w:type="dxa" w:w="1218"/>
            <w:vAlign w:val="center"/>
          </w:tcPr>
          <w:p>
            <w:r>
              <w:rPr>
                <w:sz w:val="16"/>
              </w:rPr>
              <w:t>LUSC</w:t>
            </w:r>
          </w:p>
        </w:tc>
        <w:tc>
          <w:tcPr>
            <w:tcW w:type="dxa" w:w="1218"/>
            <w:vAlign w:val="center"/>
          </w:tcPr>
          <w:p>
            <w:r>
              <w:rPr>
                <w:sz w:val="16"/>
              </w:rPr>
              <w:t>TRUE</w:t>
            </w:r>
          </w:p>
        </w:tc>
        <w:tc>
          <w:tcPr>
            <w:tcW w:type="dxa" w:w="1218"/>
            <w:vAlign w:val="center"/>
          </w:tcPr>
          <w:p>
            <w:r>
              <w:rPr>
                <w:sz w:val="16"/>
              </w:rPr>
              <w:t>405</w:t>
            </w:r>
          </w:p>
        </w:tc>
        <w:tc>
          <w:tcPr>
            <w:tcW w:type="dxa" w:w="1218"/>
            <w:vAlign w:val="center"/>
          </w:tcPr>
          <w:p>
            <w:r>
              <w:rPr>
                <w:sz w:val="16"/>
              </w:rPr>
              <w:t>16</w:t>
            </w:r>
          </w:p>
        </w:tc>
        <w:tc>
          <w:tcPr>
            <w:tcW w:type="dxa" w:w="1218"/>
            <w:vAlign w:val="center"/>
          </w:tcPr>
          <w:p>
            <w:r>
              <w:rPr>
                <w:sz w:val="16"/>
              </w:rPr>
              <w:t>0.531 (0.014)</w:t>
            </w:r>
          </w:p>
        </w:tc>
        <w:tc>
          <w:tcPr>
            <w:tcW w:type="dxa" w:w="1218"/>
            <w:vAlign w:val="center"/>
          </w:tcPr>
          <w:p>
            <w:r>
              <w:rPr>
                <w:sz w:val="16"/>
              </w:rPr>
              <w:t>0.062</w:t>
            </w:r>
          </w:p>
        </w:tc>
        <w:tc>
          <w:tcPr>
            <w:tcW w:type="dxa" w:w="1218"/>
            <w:vAlign w:val="center"/>
          </w:tcPr>
          <w:p>
            <w:r>
              <w:rPr>
                <w:sz w:val="16"/>
              </w:rPr>
              <w:t>0.499</w:t>
            </w:r>
          </w:p>
        </w:tc>
        <w:tc>
          <w:tcPr>
            <w:tcW w:type="dxa" w:w="1218"/>
            <w:vAlign w:val="center"/>
          </w:tcPr>
          <w:p>
            <w:r>
              <w:rPr>
                <w:sz w:val="16"/>
              </w:rPr>
            </w:r>
          </w:p>
        </w:tc>
      </w:tr>
      <w:tr>
        <w:trPr>
          <w:cantSplit/>
        </w:trPr>
        <w:tc>
          <w:tcPr>
            <w:tcW w:type="dxa" w:w="1218"/>
            <w:vAlign w:val="center"/>
          </w:tcPr>
          <w:p>
            <w:r>
              <w:rPr>
                <w:sz w:val="16"/>
              </w:rPr>
              <w:t>MESO</w:t>
            </w:r>
          </w:p>
        </w:tc>
        <w:tc>
          <w:tcPr>
            <w:tcW w:type="dxa" w:w="1218"/>
            <w:vAlign w:val="center"/>
          </w:tcPr>
          <w:p>
            <w:r>
              <w:rPr>
                <w:sz w:val="16"/>
              </w:rPr>
              <w:t>FALSE</w:t>
            </w:r>
          </w:p>
        </w:tc>
        <w:tc>
          <w:tcPr>
            <w:tcW w:type="dxa" w:w="1218"/>
            <w:vAlign w:val="center"/>
          </w:tcPr>
          <w:p>
            <w:r>
              <w:rPr>
                <w:sz w:val="16"/>
              </w:rPr>
              <w:t>15</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OV</w:t>
            </w:r>
          </w:p>
        </w:tc>
        <w:tc>
          <w:tcPr>
            <w:tcW w:type="dxa" w:w="1218"/>
            <w:vAlign w:val="center"/>
          </w:tcPr>
          <w:p>
            <w:r>
              <w:rPr>
                <w:sz w:val="16"/>
              </w:rPr>
              <w:t>TRUE</w:t>
            </w:r>
          </w:p>
        </w:tc>
        <w:tc>
          <w:tcPr>
            <w:tcW w:type="dxa" w:w="1218"/>
            <w:vAlign w:val="center"/>
          </w:tcPr>
          <w:p>
            <w:r>
              <w:rPr>
                <w:sz w:val="16"/>
              </w:rPr>
              <w:t>83</w:t>
            </w:r>
          </w:p>
        </w:tc>
        <w:tc>
          <w:tcPr>
            <w:tcW w:type="dxa" w:w="1218"/>
            <w:vAlign w:val="center"/>
          </w:tcPr>
          <w:p>
            <w:r>
              <w:rPr>
                <w:sz w:val="16"/>
              </w:rPr>
              <w:t>2</w:t>
            </w:r>
          </w:p>
        </w:tc>
        <w:tc>
          <w:tcPr>
            <w:tcW w:type="dxa" w:w="1218"/>
            <w:vAlign w:val="center"/>
          </w:tcPr>
          <w:p>
            <w:r>
              <w:rPr>
                <w:sz w:val="16"/>
              </w:rPr>
              <w:t>0.963 (0.010)</w:t>
            </w:r>
          </w:p>
        </w:tc>
        <w:tc>
          <w:tcPr>
            <w:tcW w:type="dxa" w:w="1218"/>
            <w:vAlign w:val="center"/>
          </w:tcPr>
          <w:p>
            <w:r>
              <w:rPr>
                <w:sz w:val="16"/>
              </w:rPr>
              <w:t>0.500</w:t>
            </w:r>
          </w:p>
        </w:tc>
        <w:tc>
          <w:tcPr>
            <w:tcW w:type="dxa" w:w="1218"/>
            <w:vAlign w:val="center"/>
          </w:tcPr>
          <w:p>
            <w:r>
              <w:rPr>
                <w:sz w:val="16"/>
              </w:rPr>
              <w:t>0.926</w:t>
            </w:r>
          </w:p>
        </w:tc>
        <w:tc>
          <w:tcPr>
            <w:tcW w:type="dxa" w:w="1218"/>
            <w:vAlign w:val="center"/>
          </w:tcPr>
          <w:p>
            <w:r>
              <w:rPr>
                <w:sz w:val="16"/>
              </w:rPr>
            </w:r>
          </w:p>
        </w:tc>
      </w:tr>
      <w:tr>
        <w:trPr>
          <w:cantSplit/>
        </w:trPr>
        <w:tc>
          <w:tcPr>
            <w:tcW w:type="dxa" w:w="1218"/>
            <w:vAlign w:val="center"/>
          </w:tcPr>
          <w:p>
            <w:r>
              <w:rPr>
                <w:sz w:val="16"/>
              </w:rPr>
              <w:t>PAAD</w:t>
            </w:r>
          </w:p>
        </w:tc>
        <w:tc>
          <w:tcPr>
            <w:tcW w:type="dxa" w:w="1218"/>
            <w:vAlign w:val="center"/>
          </w:tcPr>
          <w:p>
            <w:r>
              <w:rPr>
                <w:sz w:val="16"/>
              </w:rPr>
              <w:t>TRUE</w:t>
            </w:r>
          </w:p>
        </w:tc>
        <w:tc>
          <w:tcPr>
            <w:tcW w:type="dxa" w:w="1218"/>
            <w:vAlign w:val="center"/>
          </w:tcPr>
          <w:p>
            <w:r>
              <w:rPr>
                <w:sz w:val="16"/>
              </w:rPr>
              <w:t>120</w:t>
            </w:r>
          </w:p>
        </w:tc>
        <w:tc>
          <w:tcPr>
            <w:tcW w:type="dxa" w:w="1218"/>
            <w:vAlign w:val="center"/>
          </w:tcPr>
          <w:p>
            <w:r>
              <w:rPr>
                <w:sz w:val="16"/>
              </w:rPr>
              <w:t>5</w:t>
            </w:r>
          </w:p>
        </w:tc>
        <w:tc>
          <w:tcPr>
            <w:tcW w:type="dxa" w:w="1218"/>
            <w:vAlign w:val="center"/>
          </w:tcPr>
          <w:p>
            <w:r>
              <w:rPr>
                <w:sz w:val="16"/>
              </w:rPr>
              <w:t>0.911 (0.015)</w:t>
            </w:r>
          </w:p>
        </w:tc>
        <w:tc>
          <w:tcPr>
            <w:tcW w:type="dxa" w:w="1218"/>
            <w:vAlign w:val="center"/>
          </w:tcPr>
          <w:p>
            <w:r>
              <w:rPr>
                <w:sz w:val="16"/>
              </w:rPr>
              <w:t>0.200</w:t>
            </w:r>
          </w:p>
        </w:tc>
        <w:tc>
          <w:tcPr>
            <w:tcW w:type="dxa" w:w="1218"/>
            <w:vAlign w:val="center"/>
          </w:tcPr>
          <w:p>
            <w:r>
              <w:rPr>
                <w:sz w:val="16"/>
              </w:rPr>
              <w:t>0.888</w:t>
            </w:r>
          </w:p>
        </w:tc>
        <w:tc>
          <w:tcPr>
            <w:tcW w:type="dxa" w:w="1218"/>
            <w:vAlign w:val="center"/>
          </w:tcPr>
          <w:p>
            <w:r>
              <w:rPr>
                <w:sz w:val="16"/>
              </w:rPr>
            </w:r>
          </w:p>
        </w:tc>
      </w:tr>
      <w:tr>
        <w:trPr>
          <w:cantSplit/>
        </w:trPr>
        <w:tc>
          <w:tcPr>
            <w:tcW w:type="dxa" w:w="1218"/>
            <w:vAlign w:val="center"/>
          </w:tcPr>
          <w:p>
            <w:r>
              <w:rPr>
                <w:sz w:val="16"/>
              </w:rPr>
              <w:t>PCPG</w:t>
            </w:r>
          </w:p>
        </w:tc>
        <w:tc>
          <w:tcPr>
            <w:tcW w:type="dxa" w:w="1218"/>
            <w:vAlign w:val="center"/>
          </w:tcPr>
          <w:p>
            <w:r>
              <w:rPr>
                <w:sz w:val="16"/>
              </w:rPr>
              <w:t>TRUE</w:t>
            </w:r>
          </w:p>
        </w:tc>
        <w:tc>
          <w:tcPr>
            <w:tcW w:type="dxa" w:w="1218"/>
            <w:vAlign w:val="center"/>
          </w:tcPr>
          <w:p>
            <w:r>
              <w:rPr>
                <w:sz w:val="16"/>
              </w:rPr>
              <w:t>138</w:t>
            </w:r>
          </w:p>
        </w:tc>
        <w:tc>
          <w:tcPr>
            <w:tcW w:type="dxa" w:w="1218"/>
            <w:vAlign w:val="center"/>
          </w:tcPr>
          <w:p>
            <w:r>
              <w:rPr>
                <w:sz w:val="16"/>
              </w:rPr>
              <w:t>6</w:t>
            </w:r>
          </w:p>
        </w:tc>
        <w:tc>
          <w:tcPr>
            <w:tcW w:type="dxa" w:w="1218"/>
            <w:vAlign w:val="center"/>
          </w:tcPr>
          <w:p>
            <w:r>
              <w:rPr>
                <w:sz w:val="16"/>
              </w:rPr>
              <w:t>0.516 (0.033)</w:t>
            </w:r>
          </w:p>
        </w:tc>
        <w:tc>
          <w:tcPr>
            <w:tcW w:type="dxa" w:w="1218"/>
            <w:vAlign w:val="center"/>
          </w:tcPr>
          <w:p>
            <w:r>
              <w:rPr>
                <w:sz w:val="16"/>
              </w:rPr>
              <w:t>0.167</w:t>
            </w:r>
          </w:p>
        </w:tc>
        <w:tc>
          <w:tcPr>
            <w:tcW w:type="dxa" w:w="1218"/>
            <w:vAlign w:val="center"/>
          </w:tcPr>
          <w:p>
            <w:r>
              <w:rPr>
                <w:sz w:val="16"/>
              </w:rPr>
              <w:t>0.419</w:t>
            </w:r>
          </w:p>
        </w:tc>
        <w:tc>
          <w:tcPr>
            <w:tcW w:type="dxa" w:w="1218"/>
            <w:vAlign w:val="center"/>
          </w:tcPr>
          <w:p>
            <w:r>
              <w:rPr>
                <w:sz w:val="16"/>
              </w:rPr>
            </w:r>
          </w:p>
        </w:tc>
      </w:tr>
      <w:tr>
        <w:trPr>
          <w:cantSplit/>
        </w:trPr>
        <w:tc>
          <w:tcPr>
            <w:tcW w:type="dxa" w:w="1218"/>
            <w:vAlign w:val="center"/>
          </w:tcPr>
          <w:p>
            <w:r>
              <w:rPr>
                <w:sz w:val="16"/>
              </w:rPr>
              <w:t>PRAD</w:t>
            </w:r>
          </w:p>
        </w:tc>
        <w:tc>
          <w:tcPr>
            <w:tcW w:type="dxa" w:w="1218"/>
            <w:vAlign w:val="center"/>
          </w:tcPr>
          <w:p>
            <w:r>
              <w:rPr>
                <w:sz w:val="16"/>
              </w:rPr>
              <w:t>TRUE</w:t>
            </w:r>
          </w:p>
        </w:tc>
        <w:tc>
          <w:tcPr>
            <w:tcW w:type="dxa" w:w="1218"/>
            <w:vAlign w:val="center"/>
          </w:tcPr>
          <w:p>
            <w:r>
              <w:rPr>
                <w:sz w:val="16"/>
              </w:rPr>
              <w:t>345</w:t>
            </w:r>
          </w:p>
        </w:tc>
        <w:tc>
          <w:tcPr>
            <w:tcW w:type="dxa" w:w="1218"/>
            <w:vAlign w:val="center"/>
          </w:tcPr>
          <w:p>
            <w:r>
              <w:rPr>
                <w:sz w:val="16"/>
              </w:rPr>
              <w:t>10</w:t>
            </w:r>
          </w:p>
        </w:tc>
        <w:tc>
          <w:tcPr>
            <w:tcW w:type="dxa" w:w="1218"/>
            <w:vAlign w:val="center"/>
          </w:tcPr>
          <w:p>
            <w:r>
              <w:rPr>
                <w:sz w:val="16"/>
              </w:rPr>
              <w:t>0.767 (0.012)</w:t>
            </w:r>
          </w:p>
        </w:tc>
        <w:tc>
          <w:tcPr>
            <w:tcW w:type="dxa" w:w="1218"/>
            <w:vAlign w:val="center"/>
          </w:tcPr>
          <w:p>
            <w:r>
              <w:rPr>
                <w:sz w:val="16"/>
              </w:rPr>
              <w:t>0.100</w:t>
            </w:r>
          </w:p>
        </w:tc>
        <w:tc>
          <w:tcPr>
            <w:tcW w:type="dxa" w:w="1218"/>
            <w:vAlign w:val="center"/>
          </w:tcPr>
          <w:p>
            <w:r>
              <w:rPr>
                <w:sz w:val="16"/>
              </w:rPr>
              <w:t>0.741</w:t>
            </w:r>
          </w:p>
        </w:tc>
        <w:tc>
          <w:tcPr>
            <w:tcW w:type="dxa" w:w="1218"/>
            <w:vAlign w:val="center"/>
          </w:tcPr>
          <w:p>
            <w:r>
              <w:rPr>
                <w:sz w:val="16"/>
              </w:rPr>
            </w:r>
          </w:p>
        </w:tc>
      </w:tr>
      <w:tr>
        <w:trPr>
          <w:cantSplit/>
        </w:trPr>
        <w:tc>
          <w:tcPr>
            <w:tcW w:type="dxa" w:w="1218"/>
            <w:vAlign w:val="center"/>
          </w:tcPr>
          <w:p>
            <w:r>
              <w:rPr>
                <w:sz w:val="16"/>
              </w:rPr>
              <w:t>READ</w:t>
            </w:r>
          </w:p>
        </w:tc>
        <w:tc>
          <w:tcPr>
            <w:tcW w:type="dxa" w:w="1218"/>
            <w:vAlign w:val="center"/>
          </w:tcPr>
          <w:p>
            <w:r>
              <w:rPr>
                <w:sz w:val="16"/>
              </w:rPr>
              <w:t>TRUE</w:t>
            </w:r>
          </w:p>
        </w:tc>
        <w:tc>
          <w:tcPr>
            <w:tcW w:type="dxa" w:w="1218"/>
            <w:vAlign w:val="center"/>
          </w:tcPr>
          <w:p>
            <w:r>
              <w:rPr>
                <w:sz w:val="16"/>
              </w:rPr>
              <w:t>132</w:t>
            </w:r>
          </w:p>
        </w:tc>
        <w:tc>
          <w:tcPr>
            <w:tcW w:type="dxa" w:w="1218"/>
            <w:vAlign w:val="center"/>
          </w:tcPr>
          <w:p>
            <w:r>
              <w:rPr>
                <w:sz w:val="16"/>
              </w:rPr>
              <w:t>5</w:t>
            </w:r>
          </w:p>
        </w:tc>
        <w:tc>
          <w:tcPr>
            <w:tcW w:type="dxa" w:w="1218"/>
            <w:vAlign w:val="center"/>
          </w:tcPr>
          <w:p>
            <w:r>
              <w:rPr>
                <w:sz w:val="16"/>
              </w:rPr>
              <w:t>0.862 (0.030)</w:t>
            </w:r>
          </w:p>
        </w:tc>
        <w:tc>
          <w:tcPr>
            <w:tcW w:type="dxa" w:w="1218"/>
            <w:vAlign w:val="center"/>
          </w:tcPr>
          <w:p>
            <w:r>
              <w:rPr>
                <w:sz w:val="16"/>
              </w:rPr>
              <w:t>0.200</w:t>
            </w:r>
          </w:p>
        </w:tc>
        <w:tc>
          <w:tcPr>
            <w:tcW w:type="dxa" w:w="1218"/>
            <w:vAlign w:val="center"/>
          </w:tcPr>
          <w:p>
            <w:r>
              <w:rPr>
                <w:sz w:val="16"/>
              </w:rPr>
              <w:t>0.828</w:t>
            </w:r>
          </w:p>
        </w:tc>
        <w:tc>
          <w:tcPr>
            <w:tcW w:type="dxa" w:w="1218"/>
            <w:vAlign w:val="center"/>
          </w:tcPr>
          <w:p>
            <w:r>
              <w:rPr>
                <w:sz w:val="16"/>
              </w:rPr>
            </w:r>
          </w:p>
        </w:tc>
      </w:tr>
      <w:tr>
        <w:trPr>
          <w:cantSplit/>
        </w:trPr>
        <w:tc>
          <w:tcPr>
            <w:tcW w:type="dxa" w:w="1218"/>
            <w:vAlign w:val="center"/>
          </w:tcPr>
          <w:p>
            <w:r>
              <w:rPr>
                <w:sz w:val="16"/>
              </w:rPr>
              <w:t>SARC</w:t>
            </w:r>
          </w:p>
        </w:tc>
        <w:tc>
          <w:tcPr>
            <w:tcW w:type="dxa" w:w="1218"/>
            <w:vAlign w:val="center"/>
          </w:tcPr>
          <w:p>
            <w:r>
              <w:rPr>
                <w:sz w:val="16"/>
              </w:rPr>
              <w:t>TRUE</w:t>
            </w:r>
          </w:p>
        </w:tc>
        <w:tc>
          <w:tcPr>
            <w:tcW w:type="dxa" w:w="1218"/>
            <w:vAlign w:val="center"/>
          </w:tcPr>
          <w:p>
            <w:r>
              <w:rPr>
                <w:sz w:val="16"/>
              </w:rPr>
              <w:t>158</w:t>
            </w:r>
          </w:p>
        </w:tc>
        <w:tc>
          <w:tcPr>
            <w:tcW w:type="dxa" w:w="1218"/>
            <w:vAlign w:val="center"/>
          </w:tcPr>
          <w:p>
            <w:r>
              <w:rPr>
                <w:sz w:val="16"/>
              </w:rPr>
              <w:t>4</w:t>
            </w:r>
          </w:p>
        </w:tc>
        <w:tc>
          <w:tcPr>
            <w:tcW w:type="dxa" w:w="1218"/>
            <w:vAlign w:val="center"/>
          </w:tcPr>
          <w:p>
            <w:r>
              <w:rPr>
                <w:sz w:val="16"/>
              </w:rPr>
              <w:t>0.628 (0.034)</w:t>
            </w:r>
          </w:p>
        </w:tc>
        <w:tc>
          <w:tcPr>
            <w:tcW w:type="dxa" w:w="1218"/>
            <w:vAlign w:val="center"/>
          </w:tcPr>
          <w:p>
            <w:r>
              <w:rPr>
                <w:sz w:val="16"/>
              </w:rPr>
              <w:t>0.250</w:t>
            </w:r>
          </w:p>
        </w:tc>
        <w:tc>
          <w:tcPr>
            <w:tcW w:type="dxa" w:w="1218"/>
            <w:vAlign w:val="center"/>
          </w:tcPr>
          <w:p>
            <w:r>
              <w:rPr>
                <w:sz w:val="16"/>
              </w:rPr>
              <w:t>0.504</w:t>
            </w:r>
          </w:p>
        </w:tc>
        <w:tc>
          <w:tcPr>
            <w:tcW w:type="dxa" w:w="1218"/>
            <w:vAlign w:val="center"/>
          </w:tcPr>
          <w:p>
            <w:r>
              <w:rPr>
                <w:sz w:val="16"/>
              </w:rPr>
            </w:r>
          </w:p>
        </w:tc>
      </w:tr>
      <w:tr>
        <w:trPr>
          <w:cantSplit/>
        </w:trPr>
        <w:tc>
          <w:tcPr>
            <w:tcW w:type="dxa" w:w="1218"/>
            <w:vAlign w:val="center"/>
          </w:tcPr>
          <w:p>
            <w:r>
              <w:rPr>
                <w:sz w:val="16"/>
              </w:rPr>
              <w:t>SKCM</w:t>
            </w:r>
          </w:p>
        </w:tc>
        <w:tc>
          <w:tcPr>
            <w:tcW w:type="dxa" w:w="1218"/>
            <w:vAlign w:val="center"/>
          </w:tcPr>
          <w:p>
            <w:r>
              <w:rPr>
                <w:sz w:val="16"/>
              </w:rPr>
              <w:t>TRUE</w:t>
            </w:r>
          </w:p>
        </w:tc>
        <w:tc>
          <w:tcPr>
            <w:tcW w:type="dxa" w:w="1218"/>
            <w:vAlign w:val="center"/>
          </w:tcPr>
          <w:p>
            <w:r>
              <w:rPr>
                <w:sz w:val="16"/>
              </w:rPr>
              <w:t>245</w:t>
            </w:r>
          </w:p>
        </w:tc>
        <w:tc>
          <w:tcPr>
            <w:tcW w:type="dxa" w:w="1218"/>
            <w:vAlign w:val="center"/>
          </w:tcPr>
          <w:p>
            <w:r>
              <w:rPr>
                <w:sz w:val="16"/>
              </w:rPr>
              <w:t>8</w:t>
            </w:r>
          </w:p>
        </w:tc>
        <w:tc>
          <w:tcPr>
            <w:tcW w:type="dxa" w:w="1218"/>
            <w:vAlign w:val="center"/>
          </w:tcPr>
          <w:p>
            <w:r>
              <w:rPr>
                <w:sz w:val="16"/>
              </w:rPr>
              <w:t>0.555 (0.040)</w:t>
            </w:r>
          </w:p>
        </w:tc>
        <w:tc>
          <w:tcPr>
            <w:tcW w:type="dxa" w:w="1218"/>
            <w:vAlign w:val="center"/>
          </w:tcPr>
          <w:p>
            <w:r>
              <w:rPr>
                <w:sz w:val="16"/>
              </w:rPr>
              <w:t>0.125</w:t>
            </w:r>
          </w:p>
        </w:tc>
        <w:tc>
          <w:tcPr>
            <w:tcW w:type="dxa" w:w="1218"/>
            <w:vAlign w:val="center"/>
          </w:tcPr>
          <w:p>
            <w:r>
              <w:rPr>
                <w:sz w:val="16"/>
              </w:rPr>
              <w:t>0.491</w:t>
            </w:r>
          </w:p>
        </w:tc>
        <w:tc>
          <w:tcPr>
            <w:tcW w:type="dxa" w:w="1218"/>
            <w:vAlign w:val="center"/>
          </w:tcPr>
          <w:p>
            <w:r>
              <w:rPr>
                <w:sz w:val="16"/>
              </w:rPr>
            </w:r>
          </w:p>
        </w:tc>
      </w:tr>
      <w:tr>
        <w:trPr>
          <w:cantSplit/>
        </w:trPr>
        <w:tc>
          <w:tcPr>
            <w:tcW w:type="dxa" w:w="1218"/>
            <w:vAlign w:val="center"/>
          </w:tcPr>
          <w:p>
            <w:r>
              <w:rPr>
                <w:sz w:val="16"/>
              </w:rPr>
              <w:t>STAD</w:t>
            </w:r>
          </w:p>
        </w:tc>
        <w:tc>
          <w:tcPr>
            <w:tcW w:type="dxa" w:w="1218"/>
            <w:vAlign w:val="center"/>
          </w:tcPr>
          <w:p>
            <w:r>
              <w:rPr>
                <w:sz w:val="16"/>
              </w:rPr>
              <w:t>TRUE</w:t>
            </w:r>
          </w:p>
        </w:tc>
        <w:tc>
          <w:tcPr>
            <w:tcW w:type="dxa" w:w="1218"/>
            <w:vAlign w:val="center"/>
          </w:tcPr>
          <w:p>
            <w:r>
              <w:rPr>
                <w:sz w:val="16"/>
              </w:rPr>
              <w:t>334</w:t>
            </w:r>
          </w:p>
        </w:tc>
        <w:tc>
          <w:tcPr>
            <w:tcW w:type="dxa" w:w="1218"/>
            <w:vAlign w:val="center"/>
          </w:tcPr>
          <w:p>
            <w:r>
              <w:rPr>
                <w:sz w:val="16"/>
              </w:rPr>
              <w:t>8</w:t>
            </w:r>
          </w:p>
        </w:tc>
        <w:tc>
          <w:tcPr>
            <w:tcW w:type="dxa" w:w="1218"/>
            <w:vAlign w:val="center"/>
          </w:tcPr>
          <w:p>
            <w:r>
              <w:rPr>
                <w:sz w:val="16"/>
              </w:rPr>
              <w:t>0.712 (0.016)</w:t>
            </w:r>
          </w:p>
        </w:tc>
        <w:tc>
          <w:tcPr>
            <w:tcW w:type="dxa" w:w="1218"/>
            <w:vAlign w:val="center"/>
          </w:tcPr>
          <w:p>
            <w:r>
              <w:rPr>
                <w:sz w:val="16"/>
              </w:rPr>
              <w:t>0.125</w:t>
            </w:r>
          </w:p>
        </w:tc>
        <w:tc>
          <w:tcPr>
            <w:tcW w:type="dxa" w:w="1218"/>
            <w:vAlign w:val="center"/>
          </w:tcPr>
          <w:p>
            <w:r>
              <w:rPr>
                <w:sz w:val="16"/>
              </w:rPr>
              <w:t>0.671</w:t>
            </w:r>
          </w:p>
        </w:tc>
        <w:tc>
          <w:tcPr>
            <w:tcW w:type="dxa" w:w="1218"/>
            <w:vAlign w:val="center"/>
          </w:tcPr>
          <w:p>
            <w:r>
              <w:rPr>
                <w:sz w:val="16"/>
              </w:rPr>
            </w:r>
          </w:p>
        </w:tc>
      </w:tr>
      <w:tr>
        <w:trPr>
          <w:cantSplit/>
        </w:trPr>
        <w:tc>
          <w:tcPr>
            <w:tcW w:type="dxa" w:w="1218"/>
            <w:vAlign w:val="center"/>
          </w:tcPr>
          <w:p>
            <w:r>
              <w:rPr>
                <w:sz w:val="16"/>
              </w:rPr>
              <w:t>TGCT</w:t>
            </w:r>
          </w:p>
        </w:tc>
        <w:tc>
          <w:tcPr>
            <w:tcW w:type="dxa" w:w="1218"/>
            <w:vAlign w:val="center"/>
          </w:tcPr>
          <w:p>
            <w:r>
              <w:rPr>
                <w:sz w:val="16"/>
              </w:rPr>
              <w:t>TRUE</w:t>
            </w:r>
          </w:p>
        </w:tc>
        <w:tc>
          <w:tcPr>
            <w:tcW w:type="dxa" w:w="1218"/>
            <w:vAlign w:val="center"/>
          </w:tcPr>
          <w:p>
            <w:r>
              <w:rPr>
                <w:sz w:val="16"/>
              </w:rPr>
              <w:t>106</w:t>
            </w:r>
          </w:p>
        </w:tc>
        <w:tc>
          <w:tcPr>
            <w:tcW w:type="dxa" w:w="1218"/>
            <w:vAlign w:val="center"/>
          </w:tcPr>
          <w:p>
            <w:r>
              <w:rPr>
                <w:sz w:val="16"/>
              </w:rPr>
              <w:t>3</w:t>
            </w:r>
          </w:p>
        </w:tc>
        <w:tc>
          <w:tcPr>
            <w:tcW w:type="dxa" w:w="1218"/>
            <w:vAlign w:val="center"/>
          </w:tcPr>
          <w:p>
            <w:r>
              <w:rPr>
                <w:sz w:val="16"/>
              </w:rPr>
              <w:t>0.795 (0.055)</w:t>
            </w:r>
          </w:p>
        </w:tc>
        <w:tc>
          <w:tcPr>
            <w:tcW w:type="dxa" w:w="1218"/>
            <w:vAlign w:val="center"/>
          </w:tcPr>
          <w:p>
            <w:r>
              <w:rPr>
                <w:sz w:val="16"/>
              </w:rPr>
              <w:t>0.333</w:t>
            </w:r>
          </w:p>
        </w:tc>
        <w:tc>
          <w:tcPr>
            <w:tcW w:type="dxa" w:w="1218"/>
            <w:vAlign w:val="center"/>
          </w:tcPr>
          <w:p>
            <w:r>
              <w:rPr>
                <w:sz w:val="16"/>
              </w:rPr>
              <w:t>0.693</w:t>
            </w:r>
          </w:p>
        </w:tc>
        <w:tc>
          <w:tcPr>
            <w:tcW w:type="dxa" w:w="1218"/>
            <w:vAlign w:val="center"/>
          </w:tcPr>
          <w:p>
            <w:r>
              <w:rPr>
                <w:sz w:val="16"/>
              </w:rPr>
            </w:r>
          </w:p>
        </w:tc>
      </w:tr>
      <w:tr>
        <w:trPr>
          <w:cantSplit/>
        </w:trPr>
        <w:tc>
          <w:tcPr>
            <w:tcW w:type="dxa" w:w="1218"/>
            <w:vAlign w:val="center"/>
          </w:tcPr>
          <w:p>
            <w:r>
              <w:rPr>
                <w:sz w:val="16"/>
              </w:rPr>
              <w:t>THCA</w:t>
            </w:r>
          </w:p>
        </w:tc>
        <w:tc>
          <w:tcPr>
            <w:tcW w:type="dxa" w:w="1218"/>
            <w:vAlign w:val="center"/>
          </w:tcPr>
          <w:p>
            <w:r>
              <w:rPr>
                <w:sz w:val="16"/>
              </w:rPr>
              <w:t>TRUE</w:t>
            </w:r>
          </w:p>
        </w:tc>
        <w:tc>
          <w:tcPr>
            <w:tcW w:type="dxa" w:w="1218"/>
            <w:vAlign w:val="center"/>
          </w:tcPr>
          <w:p>
            <w:r>
              <w:rPr>
                <w:sz w:val="16"/>
              </w:rPr>
              <w:t>455</w:t>
            </w:r>
          </w:p>
        </w:tc>
        <w:tc>
          <w:tcPr>
            <w:tcW w:type="dxa" w:w="1218"/>
            <w:vAlign w:val="center"/>
          </w:tcPr>
          <w:p>
            <w:r>
              <w:rPr>
                <w:sz w:val="16"/>
              </w:rPr>
              <w:t>11</w:t>
            </w:r>
          </w:p>
        </w:tc>
        <w:tc>
          <w:tcPr>
            <w:tcW w:type="dxa" w:w="1218"/>
            <w:vAlign w:val="center"/>
          </w:tcPr>
          <w:p>
            <w:r>
              <w:rPr>
                <w:sz w:val="16"/>
              </w:rPr>
              <w:t>0.489 (0.016)</w:t>
            </w:r>
          </w:p>
        </w:tc>
        <w:tc>
          <w:tcPr>
            <w:tcW w:type="dxa" w:w="1218"/>
            <w:vAlign w:val="center"/>
          </w:tcPr>
          <w:p>
            <w:r>
              <w:rPr>
                <w:sz w:val="16"/>
              </w:rPr>
              <w:t>0.091</w:t>
            </w:r>
          </w:p>
        </w:tc>
        <w:tc>
          <w:tcPr>
            <w:tcW w:type="dxa" w:w="1218"/>
            <w:vAlign w:val="center"/>
          </w:tcPr>
          <w:p>
            <w:r>
              <w:rPr>
                <w:sz w:val="16"/>
              </w:rPr>
              <w:t>0.438</w:t>
            </w:r>
          </w:p>
        </w:tc>
        <w:tc>
          <w:tcPr>
            <w:tcW w:type="dxa" w:w="1218"/>
            <w:vAlign w:val="center"/>
          </w:tcPr>
          <w:p>
            <w:r>
              <w:rPr>
                <w:sz w:val="16"/>
              </w:rPr>
            </w:r>
          </w:p>
        </w:tc>
      </w:tr>
      <w:tr>
        <w:trPr>
          <w:cantSplit/>
        </w:trPr>
        <w:tc>
          <w:tcPr>
            <w:tcW w:type="dxa" w:w="1218"/>
            <w:vAlign w:val="center"/>
          </w:tcPr>
          <w:p>
            <w:r>
              <w:rPr>
                <w:sz w:val="16"/>
              </w:rPr>
              <w:t>THYM</w:t>
            </w:r>
          </w:p>
        </w:tc>
        <w:tc>
          <w:tcPr>
            <w:tcW w:type="dxa" w:w="1218"/>
            <w:vAlign w:val="center"/>
          </w:tcPr>
          <w:p>
            <w:r>
              <w:rPr>
                <w:sz w:val="16"/>
              </w:rPr>
              <w:t>TRUE</w:t>
            </w:r>
          </w:p>
        </w:tc>
        <w:tc>
          <w:tcPr>
            <w:tcW w:type="dxa" w:w="1218"/>
            <w:vAlign w:val="center"/>
          </w:tcPr>
          <w:p>
            <w:r>
              <w:rPr>
                <w:sz w:val="16"/>
              </w:rPr>
              <w:t>91</w:t>
            </w:r>
          </w:p>
        </w:tc>
        <w:tc>
          <w:tcPr>
            <w:tcW w:type="dxa" w:w="1218"/>
            <w:vAlign w:val="center"/>
          </w:tcPr>
          <w:p>
            <w:r>
              <w:rPr>
                <w:sz w:val="16"/>
              </w:rPr>
              <w:t>5</w:t>
            </w:r>
          </w:p>
        </w:tc>
        <w:tc>
          <w:tcPr>
            <w:tcW w:type="dxa" w:w="1218"/>
            <w:vAlign w:val="center"/>
          </w:tcPr>
          <w:p>
            <w:r>
              <w:rPr>
                <w:sz w:val="16"/>
              </w:rPr>
              <w:t>0.786 (0.031)</w:t>
            </w:r>
          </w:p>
        </w:tc>
        <w:tc>
          <w:tcPr>
            <w:tcW w:type="dxa" w:w="1218"/>
            <w:vAlign w:val="center"/>
          </w:tcPr>
          <w:p>
            <w:r>
              <w:rPr>
                <w:sz w:val="16"/>
              </w:rPr>
              <w:t>0.200</w:t>
            </w:r>
          </w:p>
        </w:tc>
        <w:tc>
          <w:tcPr>
            <w:tcW w:type="dxa" w:w="1218"/>
            <w:vAlign w:val="center"/>
          </w:tcPr>
          <w:p>
            <w:r>
              <w:rPr>
                <w:sz w:val="16"/>
              </w:rPr>
              <w:t>0.732</w:t>
            </w:r>
          </w:p>
        </w:tc>
        <w:tc>
          <w:tcPr>
            <w:tcW w:type="dxa" w:w="1218"/>
            <w:vAlign w:val="center"/>
          </w:tcPr>
          <w:p>
            <w:r>
              <w:rPr>
                <w:sz w:val="16"/>
              </w:rPr>
            </w:r>
          </w:p>
        </w:tc>
      </w:tr>
      <w:tr>
        <w:trPr>
          <w:cantSplit/>
        </w:trPr>
        <w:tc>
          <w:tcPr>
            <w:tcW w:type="dxa" w:w="1218"/>
            <w:vAlign w:val="center"/>
          </w:tcPr>
          <w:p>
            <w:r>
              <w:rPr>
                <w:sz w:val="16"/>
              </w:rPr>
              <w:t>UCEC</w:t>
            </w:r>
          </w:p>
        </w:tc>
        <w:tc>
          <w:tcPr>
            <w:tcW w:type="dxa" w:w="1218"/>
            <w:vAlign w:val="center"/>
          </w:tcPr>
          <w:p>
            <w:r>
              <w:rPr>
                <w:sz w:val="16"/>
              </w:rPr>
              <w:t>TRUE</w:t>
            </w:r>
          </w:p>
        </w:tc>
        <w:tc>
          <w:tcPr>
            <w:tcW w:type="dxa" w:w="1218"/>
            <w:vAlign w:val="center"/>
          </w:tcPr>
          <w:p>
            <w:r>
              <w:rPr>
                <w:sz w:val="16"/>
              </w:rPr>
              <w:t>456</w:t>
            </w:r>
          </w:p>
        </w:tc>
        <w:tc>
          <w:tcPr>
            <w:tcW w:type="dxa" w:w="1218"/>
            <w:vAlign w:val="center"/>
          </w:tcPr>
          <w:p>
            <w:r>
              <w:rPr>
                <w:sz w:val="16"/>
              </w:rPr>
              <w:t>12</w:t>
            </w:r>
          </w:p>
        </w:tc>
        <w:tc>
          <w:tcPr>
            <w:tcW w:type="dxa" w:w="1218"/>
            <w:vAlign w:val="center"/>
          </w:tcPr>
          <w:p>
            <w:r>
              <w:rPr>
                <w:sz w:val="16"/>
              </w:rPr>
              <w:t>0.586 (0.007)</w:t>
            </w:r>
          </w:p>
        </w:tc>
        <w:tc>
          <w:tcPr>
            <w:tcW w:type="dxa" w:w="1218"/>
            <w:vAlign w:val="center"/>
          </w:tcPr>
          <w:p>
            <w:r>
              <w:rPr>
                <w:sz w:val="16"/>
              </w:rPr>
              <w:t>0.083</w:t>
            </w:r>
          </w:p>
        </w:tc>
        <w:tc>
          <w:tcPr>
            <w:tcW w:type="dxa" w:w="1218"/>
            <w:vAlign w:val="center"/>
          </w:tcPr>
          <w:p>
            <w:r>
              <w:rPr>
                <w:sz w:val="16"/>
              </w:rPr>
              <w:t>0.548</w:t>
            </w:r>
          </w:p>
        </w:tc>
        <w:tc>
          <w:tcPr>
            <w:tcW w:type="dxa" w:w="1218"/>
            <w:vAlign w:val="center"/>
          </w:tcPr>
          <w:p>
            <w:r>
              <w:rPr>
                <w:sz w:val="16"/>
              </w:rPr>
            </w:r>
          </w:p>
        </w:tc>
      </w:tr>
      <w:tr>
        <w:trPr>
          <w:cantSplit/>
        </w:trPr>
        <w:tc>
          <w:tcPr>
            <w:tcW w:type="dxa" w:w="1218"/>
            <w:vAlign w:val="center"/>
          </w:tcPr>
          <w:p>
            <w:r>
              <w:rPr>
                <w:sz w:val="16"/>
              </w:rPr>
              <w:t>UCS</w:t>
            </w:r>
          </w:p>
        </w:tc>
        <w:tc>
          <w:tcPr>
            <w:tcW w:type="dxa" w:w="1218"/>
            <w:vAlign w:val="center"/>
          </w:tcPr>
          <w:p>
            <w:r>
              <w:rPr>
                <w:sz w:val="16"/>
              </w:rPr>
              <w:t>FALSE</w:t>
            </w:r>
          </w:p>
        </w:tc>
        <w:tc>
          <w:tcPr>
            <w:tcW w:type="dxa" w:w="1218"/>
            <w:vAlign w:val="center"/>
          </w:tcPr>
          <w:p>
            <w:r>
              <w:rPr>
                <w:sz w:val="16"/>
              </w:rPr>
              <w:t>14</w:t>
            </w:r>
          </w:p>
        </w:tc>
        <w:tc>
          <w:tcPr>
            <w:tcW w:type="dxa" w:w="1218"/>
            <w:vAlign w:val="center"/>
          </w:tcPr>
          <w:p>
            <w:r>
              <w:rPr>
                <w:sz w:val="16"/>
              </w:rPr>
              <w:t>1</w:t>
            </w:r>
          </w:p>
        </w:tc>
        <w:tc>
          <w:tcPr>
            <w:tcW w:type="dxa" w:w="1218"/>
            <w:vAlign w:val="center"/>
          </w:tcPr>
          <w:p>
            <w:r>
              <w:rPr>
                <w:sz w:val="16"/>
              </w:rPr>
              <w:t>NA (NA)</w:t>
            </w:r>
          </w:p>
        </w:tc>
        <w:tc>
          <w:tcPr>
            <w:tcW w:type="dxa" w:w="1218"/>
            <w:vAlign w:val="center"/>
          </w:tcPr>
          <w:p>
            <w:r>
              <w:rPr>
                <w:sz w:val="16"/>
              </w:rPr>
              <w:t>NA</w:t>
            </w:r>
          </w:p>
        </w:tc>
        <w:tc>
          <w:tcPr>
            <w:tcW w:type="dxa" w:w="1218"/>
            <w:vAlign w:val="center"/>
          </w:tcPr>
          <w:p>
            <w:r>
              <w:rPr>
                <w:sz w:val="16"/>
              </w:rPr>
              <w:t>NA</w:t>
            </w:r>
          </w:p>
        </w:tc>
        <w:tc>
          <w:tcPr>
            <w:tcW w:type="dxa" w:w="1218"/>
            <w:vAlign w:val="center"/>
          </w:tcPr>
          <w:p>
            <w:r>
              <w:rPr>
                <w:sz w:val="16"/>
              </w:rPr>
              <w:t>fewer than two tissue-source sites had at least 10 patients</w:t>
            </w:r>
          </w:p>
        </w:tc>
      </w:tr>
      <w:tr>
        <w:trPr>
          <w:cantSplit/>
        </w:trPr>
        <w:tc>
          <w:tcPr>
            <w:tcW w:type="dxa" w:w="1218"/>
            <w:vAlign w:val="center"/>
          </w:tcPr>
          <w:p>
            <w:r>
              <w:rPr>
                <w:sz w:val="16"/>
              </w:rPr>
              <w:t>UVM</w:t>
            </w:r>
          </w:p>
        </w:tc>
        <w:tc>
          <w:tcPr>
            <w:tcW w:type="dxa" w:w="1218"/>
            <w:vAlign w:val="center"/>
          </w:tcPr>
          <w:p>
            <w:r>
              <w:rPr>
                <w:sz w:val="16"/>
              </w:rPr>
              <w:t>TRUE</w:t>
            </w:r>
          </w:p>
        </w:tc>
        <w:tc>
          <w:tcPr>
            <w:tcW w:type="dxa" w:w="1218"/>
            <w:vAlign w:val="center"/>
          </w:tcPr>
          <w:p>
            <w:r>
              <w:rPr>
                <w:sz w:val="16"/>
              </w:rPr>
              <w:t>72</w:t>
            </w:r>
          </w:p>
        </w:tc>
        <w:tc>
          <w:tcPr>
            <w:tcW w:type="dxa" w:w="1218"/>
            <w:vAlign w:val="center"/>
          </w:tcPr>
          <w:p>
            <w:r>
              <w:rPr>
                <w:sz w:val="16"/>
              </w:rPr>
              <w:t>3</w:t>
            </w:r>
          </w:p>
        </w:tc>
        <w:tc>
          <w:tcPr>
            <w:tcW w:type="dxa" w:w="1218"/>
            <w:vAlign w:val="center"/>
          </w:tcPr>
          <w:p>
            <w:r>
              <w:rPr>
                <w:sz w:val="16"/>
              </w:rPr>
              <w:t>0.966 (0.010)</w:t>
            </w:r>
          </w:p>
        </w:tc>
        <w:tc>
          <w:tcPr>
            <w:tcW w:type="dxa" w:w="1218"/>
            <w:vAlign w:val="center"/>
          </w:tcPr>
          <w:p>
            <w:r>
              <w:rPr>
                <w:sz w:val="16"/>
              </w:rPr>
              <w:t>0.333</w:t>
            </w:r>
          </w:p>
        </w:tc>
        <w:tc>
          <w:tcPr>
            <w:tcW w:type="dxa" w:w="1218"/>
            <w:vAlign w:val="center"/>
          </w:tcPr>
          <w:p>
            <w:r>
              <w:rPr>
                <w:sz w:val="16"/>
              </w:rPr>
              <w:t>0.949</w:t>
            </w:r>
          </w:p>
        </w:tc>
        <w:tc>
          <w:tcPr>
            <w:tcW w:type="dxa" w:w="1218"/>
            <w:vAlign w:val="center"/>
          </w:tcPr>
          <w:p>
            <w:r>
              <w:rPr>
                <w:sz w:val="16"/>
              </w:rPr>
            </w:r>
          </w:p>
        </w:tc>
      </w:tr>
    </w:tbl>
    <w:p/>
    <w:p>
      <w:pPr>
        <w:pStyle w:val="Heading1"/>
      </w:pPr>
      <w:r>
        <w:t>Table S10e. Metadata-stratified representative PLS–ridge benchmark</w:t>
      </w:r>
    </w:p>
    <w:p>
      <w:r>
        <w:t>All 2,073 eligible tests entered the sampling frame. A fixed salted SHA-256 rank selected one endpoint per non-empty outcome-family × empirical sample-size-tercile cell; binary endpoints were additionally stratified by empirical minority-class-fraction tercile. Selection did not use PLS performance and yielded 12 continuous and 35 binary targets. Both algorithms used identical patients, outer folds and inner folds. Continuous hyperparameters maximised the same pooled inner out-of-fold Q²; binary operating thresholds maximised the same inner out-of-fold balanced accuracy. For repeat r, d_r=M_r(ridge)−M_r(PLS), with Δ=(1/5)Σ_r d_r. Each of 2,000 paired patient-resampling replicates retained both methods and all five predictions. The interval does not repeat target sampling, generate partitions or refit models, and it does not represent external transportability. This is representative rather than atlas-wide. Positive differences favour ridge.</w:t>
      </w:r>
    </w:p>
    <w:p>
      <w:pPr>
        <w:pStyle w:val="Caption"/>
      </w:pPr>
      <w:r>
        <w:t>Panel A. Sampling-stratum summary for the primary metric.</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Type</w:t>
            </w:r>
          </w:p>
        </w:tc>
        <w:tc>
          <w:tcPr>
            <w:tcW w:type="dxa" w:w="1392"/>
          </w:tcPr>
          <w:p>
            <w:r>
              <w:rPr>
                <w:b/>
                <w:sz w:val="17"/>
              </w:rPr>
              <w:t>Stratifier</w:t>
            </w:r>
          </w:p>
        </w:tc>
        <w:tc>
          <w:tcPr>
            <w:tcW w:type="dxa" w:w="1392"/>
          </w:tcPr>
          <w:p>
            <w:r>
              <w:rPr>
                <w:b/>
                <w:sz w:val="17"/>
              </w:rPr>
              <w:t>Stratum</w:t>
            </w:r>
          </w:p>
        </w:tc>
        <w:tc>
          <w:tcPr>
            <w:tcW w:type="dxa" w:w="1392"/>
          </w:tcPr>
          <w:p>
            <w:r>
              <w:rPr>
                <w:b/>
                <w:sz w:val="17"/>
              </w:rPr>
              <w:t>Models</w:t>
            </w:r>
          </w:p>
        </w:tc>
        <w:tc>
          <w:tcPr>
            <w:tcW w:type="dxa" w:w="1392"/>
          </w:tcPr>
          <w:p>
            <w:r>
              <w:rPr>
                <w:b/>
                <w:sz w:val="17"/>
              </w:rPr>
              <w:t>Median Δ</w:t>
            </w:r>
          </w:p>
        </w:tc>
        <w:tc>
          <w:tcPr>
            <w:tcW w:type="dxa" w:w="1392"/>
          </w:tcPr>
          <w:p>
            <w:r>
              <w:rPr>
                <w:b/>
                <w:sz w:val="17"/>
              </w:rPr>
              <w:t>IQR</w:t>
            </w:r>
          </w:p>
        </w:tc>
        <w:tc>
          <w:tcPr>
            <w:tcW w:type="dxa" w:w="1392"/>
          </w:tcPr>
          <w:p>
            <w:r>
              <w:rPr>
                <w:b/>
                <w:sz w:val="17"/>
              </w:rPr>
              <w:t>PLS/ridge/uncertain</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high</w:t>
            </w:r>
          </w:p>
        </w:tc>
        <w:tc>
          <w:tcPr>
            <w:tcW w:type="dxa" w:w="1392"/>
            <w:vAlign w:val="center"/>
          </w:tcPr>
          <w:p>
            <w:r>
              <w:rPr>
                <w:sz w:val="16"/>
              </w:rPr>
              <w:t>8</w:t>
            </w:r>
          </w:p>
        </w:tc>
        <w:tc>
          <w:tcPr>
            <w:tcW w:type="dxa" w:w="1392"/>
            <w:vAlign w:val="center"/>
          </w:tcPr>
          <w:p>
            <w:r>
              <w:rPr>
                <w:sz w:val="16"/>
              </w:rPr>
              <w:t>0.013</w:t>
            </w:r>
          </w:p>
        </w:tc>
        <w:tc>
          <w:tcPr>
            <w:tcW w:type="dxa" w:w="1392"/>
            <w:vAlign w:val="center"/>
          </w:tcPr>
          <w:p>
            <w:r>
              <w:rPr>
                <w:sz w:val="16"/>
              </w:rPr>
              <w:t>-0.000 to 0.059</w:t>
            </w:r>
          </w:p>
        </w:tc>
        <w:tc>
          <w:tcPr>
            <w:tcW w:type="dxa" w:w="1392"/>
            <w:vAlign w:val="center"/>
          </w:tcPr>
          <w:p>
            <w:r>
              <w:rPr>
                <w:sz w:val="16"/>
              </w:rPr>
              <w:t>0/2/6</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low</w:t>
            </w:r>
          </w:p>
        </w:tc>
        <w:tc>
          <w:tcPr>
            <w:tcW w:type="dxa" w:w="1392"/>
            <w:vAlign w:val="center"/>
          </w:tcPr>
          <w:p>
            <w:r>
              <w:rPr>
                <w:sz w:val="16"/>
              </w:rPr>
              <w:t>13</w:t>
            </w:r>
          </w:p>
        </w:tc>
        <w:tc>
          <w:tcPr>
            <w:tcW w:type="dxa" w:w="1392"/>
            <w:vAlign w:val="center"/>
          </w:tcPr>
          <w:p>
            <w:r>
              <w:rPr>
                <w:sz w:val="16"/>
              </w:rPr>
              <w:t>0.000</w:t>
            </w:r>
          </w:p>
        </w:tc>
        <w:tc>
          <w:tcPr>
            <w:tcW w:type="dxa" w:w="1392"/>
            <w:vAlign w:val="center"/>
          </w:tcPr>
          <w:p>
            <w:r>
              <w:rPr>
                <w:sz w:val="16"/>
              </w:rPr>
              <w:t>-0.003 to 0.010</w:t>
            </w:r>
          </w:p>
        </w:tc>
        <w:tc>
          <w:tcPr>
            <w:tcW w:type="dxa" w:w="1392"/>
            <w:vAlign w:val="center"/>
          </w:tcPr>
          <w:p>
            <w:r>
              <w:rPr>
                <w:sz w:val="16"/>
              </w:rPr>
              <w:t>0/2/11</w:t>
            </w:r>
          </w:p>
        </w:tc>
      </w:tr>
      <w:tr>
        <w:trPr>
          <w:cantSplit/>
        </w:trPr>
        <w:tc>
          <w:tcPr>
            <w:tcW w:type="dxa" w:w="1392"/>
            <w:vAlign w:val="center"/>
          </w:tcPr>
          <w:p>
            <w:r>
              <w:rPr>
                <w:sz w:val="16"/>
              </w:rPr>
              <w:t>bin.</w:t>
            </w:r>
          </w:p>
        </w:tc>
        <w:tc>
          <w:tcPr>
            <w:tcW w:type="dxa" w:w="1392"/>
            <w:vAlign w:val="center"/>
          </w:tcPr>
          <w:p>
            <w:r>
              <w:rPr>
                <w:sz w:val="16"/>
              </w:rPr>
              <w:t>class imbalance</w:t>
            </w:r>
          </w:p>
        </w:tc>
        <w:tc>
          <w:tcPr>
            <w:tcW w:type="dxa" w:w="1392"/>
            <w:vAlign w:val="center"/>
          </w:tcPr>
          <w:p>
            <w:r>
              <w:rPr>
                <w:sz w:val="16"/>
              </w:rPr>
              <w:t>moderate</w:t>
            </w:r>
          </w:p>
        </w:tc>
        <w:tc>
          <w:tcPr>
            <w:tcW w:type="dxa" w:w="1392"/>
            <w:vAlign w:val="center"/>
          </w:tcPr>
          <w:p>
            <w:r>
              <w:rPr>
                <w:sz w:val="16"/>
              </w:rPr>
              <w:t>14</w:t>
            </w:r>
          </w:p>
        </w:tc>
        <w:tc>
          <w:tcPr>
            <w:tcW w:type="dxa" w:w="1392"/>
            <w:vAlign w:val="center"/>
          </w:tcPr>
          <w:p>
            <w:r>
              <w:rPr>
                <w:sz w:val="16"/>
              </w:rPr>
              <w:t>0.013</w:t>
            </w:r>
          </w:p>
        </w:tc>
        <w:tc>
          <w:tcPr>
            <w:tcW w:type="dxa" w:w="1392"/>
            <w:vAlign w:val="center"/>
          </w:tcPr>
          <w:p>
            <w:r>
              <w:rPr>
                <w:sz w:val="16"/>
              </w:rPr>
              <w:t>0.001 to 0.030</w:t>
            </w:r>
          </w:p>
        </w:tc>
        <w:tc>
          <w:tcPr>
            <w:tcW w:type="dxa" w:w="1392"/>
            <w:vAlign w:val="center"/>
          </w:tcPr>
          <w:p>
            <w:r>
              <w:rPr>
                <w:sz w:val="16"/>
              </w:rPr>
              <w:t>0/4/10</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7</w:t>
            </w:r>
          </w:p>
        </w:tc>
        <w:tc>
          <w:tcPr>
            <w:tcW w:type="dxa" w:w="1392"/>
            <w:vAlign w:val="center"/>
          </w:tcPr>
          <w:p>
            <w:r>
              <w:rPr>
                <w:sz w:val="16"/>
              </w:rPr>
              <w:t>0.034</w:t>
            </w:r>
          </w:p>
        </w:tc>
        <w:tc>
          <w:tcPr>
            <w:tcW w:type="dxa" w:w="1392"/>
            <w:vAlign w:val="center"/>
          </w:tcPr>
          <w:p>
            <w:r>
              <w:rPr>
                <w:sz w:val="16"/>
              </w:rPr>
              <w:t>0.019 to 0.045</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mut.</w:t>
            </w:r>
          </w:p>
        </w:tc>
        <w:tc>
          <w:tcPr>
            <w:tcW w:type="dxa" w:w="1392"/>
            <w:vAlign w:val="center"/>
          </w:tcPr>
          <w:p>
            <w:r>
              <w:rPr>
                <w:sz w:val="16"/>
              </w:rPr>
              <w:t>9</w:t>
            </w:r>
          </w:p>
        </w:tc>
        <w:tc>
          <w:tcPr>
            <w:tcW w:type="dxa" w:w="1392"/>
            <w:vAlign w:val="center"/>
          </w:tcPr>
          <w:p>
            <w:r>
              <w:rPr>
                <w:sz w:val="16"/>
              </w:rPr>
              <w:t>0.008</w:t>
            </w:r>
          </w:p>
        </w:tc>
        <w:tc>
          <w:tcPr>
            <w:tcW w:type="dxa" w:w="1392"/>
            <w:vAlign w:val="center"/>
          </w:tcPr>
          <w:p>
            <w:r>
              <w:rPr>
                <w:sz w:val="16"/>
              </w:rPr>
              <w:t>-0.003 to 0.014</w:t>
            </w:r>
          </w:p>
        </w:tc>
        <w:tc>
          <w:tcPr>
            <w:tcW w:type="dxa" w:w="1392"/>
            <w:vAlign w:val="center"/>
          </w:tcPr>
          <w:p>
            <w:r>
              <w:rPr>
                <w:sz w:val="16"/>
              </w:rPr>
              <w:t>0/0/9</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7</w:t>
            </w:r>
          </w:p>
        </w:tc>
        <w:tc>
          <w:tcPr>
            <w:tcW w:type="dxa" w:w="1392"/>
            <w:vAlign w:val="center"/>
          </w:tcPr>
          <w:p>
            <w:r>
              <w:rPr>
                <w:sz w:val="16"/>
              </w:rPr>
              <w:t>0.005</w:t>
            </w:r>
          </w:p>
        </w:tc>
        <w:tc>
          <w:tcPr>
            <w:tcW w:type="dxa" w:w="1392"/>
            <w:vAlign w:val="center"/>
          </w:tcPr>
          <w:p>
            <w:r>
              <w:rPr>
                <w:sz w:val="16"/>
              </w:rPr>
              <w:t>-0.005 to 0.029</w:t>
            </w:r>
          </w:p>
        </w:tc>
        <w:tc>
          <w:tcPr>
            <w:tcW w:type="dxa" w:w="1392"/>
            <w:vAlign w:val="center"/>
          </w:tcPr>
          <w:p>
            <w:r>
              <w:rPr>
                <w:sz w:val="16"/>
              </w:rPr>
              <w:t>0/3/4</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2</w:t>
            </w:r>
          </w:p>
        </w:tc>
        <w:tc>
          <w:tcPr>
            <w:tcW w:type="dxa" w:w="1392"/>
            <w:vAlign w:val="center"/>
          </w:tcPr>
          <w:p>
            <w:r>
              <w:rPr>
                <w:sz w:val="16"/>
              </w:rPr>
              <w:t>0.016</w:t>
            </w:r>
          </w:p>
        </w:tc>
        <w:tc>
          <w:tcPr>
            <w:tcW w:type="dxa" w:w="1392"/>
            <w:vAlign w:val="center"/>
          </w:tcPr>
          <w:p>
            <w:r>
              <w:rPr>
                <w:sz w:val="16"/>
              </w:rPr>
              <w:t>0.011 to 0.021</w:t>
            </w:r>
          </w:p>
        </w:tc>
        <w:tc>
          <w:tcPr>
            <w:tcW w:type="dxa" w:w="1392"/>
            <w:vAlign w:val="center"/>
          </w:tcPr>
          <w:p>
            <w:r>
              <w:rPr>
                <w:sz w:val="16"/>
              </w:rPr>
              <w:t>0/1/1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MSI</w:t>
            </w:r>
          </w:p>
        </w:tc>
        <w:tc>
          <w:tcPr>
            <w:tcW w:type="dxa" w:w="1392"/>
            <w:vAlign w:val="center"/>
          </w:tcPr>
          <w:p>
            <w:r>
              <w:rPr>
                <w:sz w:val="16"/>
              </w:rPr>
              <w:t>1</w:t>
            </w:r>
          </w:p>
        </w:tc>
        <w:tc>
          <w:tcPr>
            <w:tcW w:type="dxa" w:w="1392"/>
            <w:vAlign w:val="center"/>
          </w:tcPr>
          <w:p>
            <w:r>
              <w:rPr>
                <w:sz w:val="16"/>
              </w:rPr>
              <w:t>0.011</w:t>
            </w:r>
          </w:p>
        </w:tc>
        <w:tc>
          <w:tcPr>
            <w:tcW w:type="dxa" w:w="1392"/>
            <w:vAlign w:val="center"/>
          </w:tcPr>
          <w:p>
            <w:r>
              <w:rPr>
                <w:sz w:val="16"/>
              </w:rPr>
              <w:t>0.011 to 0.011</w:t>
            </w:r>
          </w:p>
        </w:tc>
        <w:tc>
          <w:tcPr>
            <w:tcW w:type="dxa" w:w="1392"/>
            <w:vAlign w:val="center"/>
          </w:tcPr>
          <w:p>
            <w:r>
              <w:rPr>
                <w:sz w:val="16"/>
              </w:rPr>
              <w:t>0/0/1</w:t>
            </w:r>
          </w:p>
        </w:tc>
      </w:tr>
      <w:tr>
        <w:trPr>
          <w:cantSplit/>
        </w:trPr>
        <w:tc>
          <w:tcPr>
            <w:tcW w:type="dxa" w:w="1392"/>
            <w:vAlign w:val="center"/>
          </w:tcPr>
          <w:p>
            <w:r>
              <w:rPr>
                <w:sz w:val="16"/>
              </w:rPr>
              <w:t>bin.</w:t>
            </w:r>
          </w:p>
        </w:tc>
        <w:tc>
          <w:tcPr>
            <w:tcW w:type="dxa" w:w="1392"/>
            <w:vAlign w:val="center"/>
          </w:tcPr>
          <w:p>
            <w:r>
              <w:rPr>
                <w:sz w:val="16"/>
              </w:rPr>
              <w:t>outcome family</w:t>
            </w:r>
          </w:p>
        </w:tc>
        <w:tc>
          <w:tcPr>
            <w:tcW w:type="dxa" w:w="1392"/>
            <w:vAlign w:val="center"/>
          </w:tcPr>
          <w:p>
            <w:r>
              <w:rPr>
                <w:sz w:val="16"/>
              </w:rPr>
              <w:t>pathway</w:t>
            </w:r>
          </w:p>
        </w:tc>
        <w:tc>
          <w:tcPr>
            <w:tcW w:type="dxa" w:w="1392"/>
            <w:vAlign w:val="center"/>
          </w:tcPr>
          <w:p>
            <w:r>
              <w:rPr>
                <w:sz w:val="16"/>
              </w:rPr>
              <w:t>9</w:t>
            </w:r>
          </w:p>
        </w:tc>
        <w:tc>
          <w:tcPr>
            <w:tcW w:type="dxa" w:w="1392"/>
            <w:vAlign w:val="center"/>
          </w:tcPr>
          <w:p>
            <w:r>
              <w:rPr>
                <w:sz w:val="16"/>
              </w:rPr>
              <w:t>0.000</w:t>
            </w:r>
          </w:p>
        </w:tc>
        <w:tc>
          <w:tcPr>
            <w:tcW w:type="dxa" w:w="1392"/>
            <w:vAlign w:val="center"/>
          </w:tcPr>
          <w:p>
            <w:r>
              <w:rPr>
                <w:sz w:val="16"/>
              </w:rPr>
              <w:t>-0.005 to 0.008</w:t>
            </w:r>
          </w:p>
        </w:tc>
        <w:tc>
          <w:tcPr>
            <w:tcW w:type="dxa" w:w="1392"/>
            <w:vAlign w:val="center"/>
          </w:tcPr>
          <w:p>
            <w:r>
              <w:rPr>
                <w:sz w:val="16"/>
              </w:rPr>
              <w:t>0/1/8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12</w:t>
            </w:r>
          </w:p>
        </w:tc>
        <w:tc>
          <w:tcPr>
            <w:tcW w:type="dxa" w:w="1392"/>
            <w:vAlign w:val="center"/>
          </w:tcPr>
          <w:p>
            <w:r>
              <w:rPr>
                <w:sz w:val="16"/>
              </w:rPr>
              <w:t>0.009</w:t>
            </w:r>
          </w:p>
        </w:tc>
        <w:tc>
          <w:tcPr>
            <w:tcW w:type="dxa" w:w="1392"/>
            <w:vAlign w:val="center"/>
          </w:tcPr>
          <w:p>
            <w:r>
              <w:rPr>
                <w:sz w:val="16"/>
              </w:rPr>
              <w:t>0.000 to 0.027</w:t>
            </w:r>
          </w:p>
        </w:tc>
        <w:tc>
          <w:tcPr>
            <w:tcW w:type="dxa" w:w="1392"/>
            <w:vAlign w:val="center"/>
          </w:tcPr>
          <w:p>
            <w:r>
              <w:rPr>
                <w:sz w:val="16"/>
              </w:rPr>
              <w:t>0/4/8</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13</w:t>
            </w:r>
          </w:p>
        </w:tc>
        <w:tc>
          <w:tcPr>
            <w:tcW w:type="dxa" w:w="1392"/>
            <w:vAlign w:val="center"/>
          </w:tcPr>
          <w:p>
            <w:r>
              <w:rPr>
                <w:sz w:val="16"/>
              </w:rPr>
              <w:t>0.011</w:t>
            </w:r>
          </w:p>
        </w:tc>
        <w:tc>
          <w:tcPr>
            <w:tcW w:type="dxa" w:w="1392"/>
            <w:vAlign w:val="center"/>
          </w:tcPr>
          <w:p>
            <w:r>
              <w:rPr>
                <w:sz w:val="16"/>
              </w:rPr>
              <w:t>0.005 to 0.035</w:t>
            </w:r>
          </w:p>
        </w:tc>
        <w:tc>
          <w:tcPr>
            <w:tcW w:type="dxa" w:w="1392"/>
            <w:vAlign w:val="center"/>
          </w:tcPr>
          <w:p>
            <w:r>
              <w:rPr>
                <w:sz w:val="16"/>
              </w:rPr>
              <w:t>0/3/10</w:t>
            </w:r>
          </w:p>
        </w:tc>
      </w:tr>
      <w:tr>
        <w:trPr>
          <w:cantSplit/>
        </w:trPr>
        <w:tc>
          <w:tcPr>
            <w:tcW w:type="dxa" w:w="1392"/>
            <w:vAlign w:val="center"/>
          </w:tcPr>
          <w:p>
            <w:r>
              <w:rPr>
                <w:sz w:val="16"/>
              </w:rPr>
              <w:t>bin.</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10</w:t>
            </w:r>
          </w:p>
        </w:tc>
        <w:tc>
          <w:tcPr>
            <w:tcW w:type="dxa" w:w="1392"/>
            <w:vAlign w:val="center"/>
          </w:tcPr>
          <w:p>
            <w:r>
              <w:rPr>
                <w:sz w:val="16"/>
              </w:rPr>
              <w:t>-0.001</w:t>
            </w:r>
          </w:p>
        </w:tc>
        <w:tc>
          <w:tcPr>
            <w:tcW w:type="dxa" w:w="1392"/>
            <w:vAlign w:val="center"/>
          </w:tcPr>
          <w:p>
            <w:r>
              <w:rPr>
                <w:sz w:val="16"/>
              </w:rPr>
              <w:t>-0.006 to 0.016</w:t>
            </w:r>
          </w:p>
        </w:tc>
        <w:tc>
          <w:tcPr>
            <w:tcW w:type="dxa" w:w="1392"/>
            <w:vAlign w:val="center"/>
          </w:tcPr>
          <w:p>
            <w:r>
              <w:rPr>
                <w:sz w:val="16"/>
              </w:rPr>
              <w:t>0/1/9</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aneuploidy</w:t>
            </w:r>
          </w:p>
        </w:tc>
        <w:tc>
          <w:tcPr>
            <w:tcW w:type="dxa" w:w="1392"/>
            <w:vAlign w:val="center"/>
          </w:tcPr>
          <w:p>
            <w:r>
              <w:rPr>
                <w:sz w:val="16"/>
              </w:rPr>
              <w:t>3</w:t>
            </w:r>
          </w:p>
        </w:tc>
        <w:tc>
          <w:tcPr>
            <w:tcW w:type="dxa" w:w="1392"/>
            <w:vAlign w:val="center"/>
          </w:tcPr>
          <w:p>
            <w:r>
              <w:rPr>
                <w:sz w:val="16"/>
              </w:rPr>
              <w:t>0.033</w:t>
            </w:r>
          </w:p>
        </w:tc>
        <w:tc>
          <w:tcPr>
            <w:tcW w:type="dxa" w:w="1392"/>
            <w:vAlign w:val="center"/>
          </w:tcPr>
          <w:p>
            <w:r>
              <w:rPr>
                <w:sz w:val="16"/>
              </w:rPr>
              <w:t>0.028 to 0.061</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fusion</w:t>
            </w:r>
          </w:p>
        </w:tc>
        <w:tc>
          <w:tcPr>
            <w:tcW w:type="dxa" w:w="1392"/>
            <w:vAlign w:val="center"/>
          </w:tcPr>
          <w:p>
            <w:r>
              <w:rPr>
                <w:sz w:val="16"/>
              </w:rPr>
              <w:t>3</w:t>
            </w:r>
          </w:p>
        </w:tc>
        <w:tc>
          <w:tcPr>
            <w:tcW w:type="dxa" w:w="1392"/>
            <w:vAlign w:val="center"/>
          </w:tcPr>
          <w:p>
            <w:r>
              <w:rPr>
                <w:sz w:val="16"/>
              </w:rPr>
              <w:t>0.058</w:t>
            </w:r>
          </w:p>
        </w:tc>
        <w:tc>
          <w:tcPr>
            <w:tcW w:type="dxa" w:w="1392"/>
            <w:vAlign w:val="center"/>
          </w:tcPr>
          <w:p>
            <w:r>
              <w:rPr>
                <w:sz w:val="16"/>
              </w:rPr>
              <w:t>0.025 to 0.173</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microsatellite_instability</w:t>
            </w:r>
          </w:p>
        </w:tc>
        <w:tc>
          <w:tcPr>
            <w:tcW w:type="dxa" w:w="1392"/>
            <w:vAlign w:val="center"/>
          </w:tcPr>
          <w:p>
            <w:r>
              <w:rPr>
                <w:sz w:val="16"/>
              </w:rPr>
              <w:t>3</w:t>
            </w:r>
          </w:p>
        </w:tc>
        <w:tc>
          <w:tcPr>
            <w:tcW w:type="dxa" w:w="1392"/>
            <w:vAlign w:val="center"/>
          </w:tcPr>
          <w:p>
            <w:r>
              <w:rPr>
                <w:sz w:val="16"/>
              </w:rPr>
              <w:t>0.064</w:t>
            </w:r>
          </w:p>
        </w:tc>
        <w:tc>
          <w:tcPr>
            <w:tcW w:type="dxa" w:w="1392"/>
            <w:vAlign w:val="center"/>
          </w:tcPr>
          <w:p>
            <w:r>
              <w:rPr>
                <w:sz w:val="16"/>
              </w:rPr>
              <w:t>0.049 to 0.172</w:t>
            </w:r>
          </w:p>
        </w:tc>
        <w:tc>
          <w:tcPr>
            <w:tcW w:type="dxa" w:w="1392"/>
            <w:vAlign w:val="center"/>
          </w:tcPr>
          <w:p>
            <w:r>
              <w:rPr>
                <w:sz w:val="16"/>
              </w:rPr>
              <w:t>0/3/0</w:t>
            </w:r>
          </w:p>
        </w:tc>
      </w:tr>
      <w:tr>
        <w:trPr>
          <w:cantSplit/>
        </w:trPr>
        <w:tc>
          <w:tcPr>
            <w:tcW w:type="dxa" w:w="1392"/>
            <w:vAlign w:val="center"/>
          </w:tcPr>
          <w:p>
            <w:r>
              <w:rPr>
                <w:sz w:val="16"/>
              </w:rPr>
              <w:t>cont.</w:t>
            </w:r>
          </w:p>
        </w:tc>
        <w:tc>
          <w:tcPr>
            <w:tcW w:type="dxa" w:w="1392"/>
            <w:vAlign w:val="center"/>
          </w:tcPr>
          <w:p>
            <w:r>
              <w:rPr>
                <w:sz w:val="16"/>
              </w:rPr>
              <w:t>outcome family</w:t>
            </w:r>
          </w:p>
        </w:tc>
        <w:tc>
          <w:tcPr>
            <w:tcW w:type="dxa" w:w="1392"/>
            <w:vAlign w:val="center"/>
          </w:tcPr>
          <w:p>
            <w:r>
              <w:rPr>
                <w:sz w:val="16"/>
              </w:rPr>
              <w:t>immune</w:t>
            </w:r>
          </w:p>
        </w:tc>
        <w:tc>
          <w:tcPr>
            <w:tcW w:type="dxa" w:w="1392"/>
            <w:vAlign w:val="center"/>
          </w:tcPr>
          <w:p>
            <w:r>
              <w:rPr>
                <w:sz w:val="16"/>
              </w:rPr>
              <w:t>3</w:t>
            </w:r>
          </w:p>
        </w:tc>
        <w:tc>
          <w:tcPr>
            <w:tcW w:type="dxa" w:w="1392"/>
            <w:vAlign w:val="center"/>
          </w:tcPr>
          <w:p>
            <w:r>
              <w:rPr>
                <w:sz w:val="16"/>
              </w:rPr>
              <w:t>0.048</w:t>
            </w:r>
          </w:p>
        </w:tc>
        <w:tc>
          <w:tcPr>
            <w:tcW w:type="dxa" w:w="1392"/>
            <w:vAlign w:val="center"/>
          </w:tcPr>
          <w:p>
            <w:r>
              <w:rPr>
                <w:sz w:val="16"/>
              </w:rPr>
              <w:t>0.036 to 0.184</w:t>
            </w:r>
          </w:p>
        </w:tc>
        <w:tc>
          <w:tcPr>
            <w:tcW w:type="dxa" w:w="1392"/>
            <w:vAlign w:val="center"/>
          </w:tcPr>
          <w:p>
            <w:r>
              <w:rPr>
                <w:sz w:val="16"/>
              </w:rPr>
              <w:t>0/2/1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large</w:t>
            </w:r>
          </w:p>
        </w:tc>
        <w:tc>
          <w:tcPr>
            <w:tcW w:type="dxa" w:w="1392"/>
            <w:vAlign w:val="center"/>
          </w:tcPr>
          <w:p>
            <w:r>
              <w:rPr>
                <w:sz w:val="16"/>
              </w:rPr>
              <w:t>4</w:t>
            </w:r>
          </w:p>
        </w:tc>
        <w:tc>
          <w:tcPr>
            <w:tcW w:type="dxa" w:w="1392"/>
            <w:vAlign w:val="center"/>
          </w:tcPr>
          <w:p>
            <w:r>
              <w:rPr>
                <w:sz w:val="16"/>
              </w:rPr>
              <w:t>0.035</w:t>
            </w:r>
          </w:p>
        </w:tc>
        <w:tc>
          <w:tcPr>
            <w:tcW w:type="dxa" w:w="1392"/>
            <w:vAlign w:val="center"/>
          </w:tcPr>
          <w:p>
            <w:r>
              <w:rPr>
                <w:sz w:val="16"/>
              </w:rPr>
              <w:t>0.015 to 0.052</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medium</w:t>
            </w:r>
          </w:p>
        </w:tc>
        <w:tc>
          <w:tcPr>
            <w:tcW w:type="dxa" w:w="1392"/>
            <w:vAlign w:val="center"/>
          </w:tcPr>
          <w:p>
            <w:r>
              <w:rPr>
                <w:sz w:val="16"/>
              </w:rPr>
              <w:t>4</w:t>
            </w:r>
          </w:p>
        </w:tc>
        <w:tc>
          <w:tcPr>
            <w:tcW w:type="dxa" w:w="1392"/>
            <w:vAlign w:val="center"/>
          </w:tcPr>
          <w:p>
            <w:r>
              <w:rPr>
                <w:sz w:val="16"/>
              </w:rPr>
              <w:t>0.034</w:t>
            </w:r>
          </w:p>
        </w:tc>
        <w:tc>
          <w:tcPr>
            <w:tcW w:type="dxa" w:w="1392"/>
            <w:vAlign w:val="center"/>
          </w:tcPr>
          <w:p>
            <w:r>
              <w:rPr>
                <w:sz w:val="16"/>
              </w:rPr>
              <w:t>0.031 to 0.041</w:t>
            </w:r>
          </w:p>
        </w:tc>
        <w:tc>
          <w:tcPr>
            <w:tcW w:type="dxa" w:w="1392"/>
            <w:vAlign w:val="center"/>
          </w:tcPr>
          <w:p>
            <w:r>
              <w:rPr>
                <w:sz w:val="16"/>
              </w:rPr>
              <w:t>0/3/1</w:t>
            </w:r>
          </w:p>
        </w:tc>
      </w:tr>
      <w:tr>
        <w:trPr>
          <w:cantSplit/>
        </w:trPr>
        <w:tc>
          <w:tcPr>
            <w:tcW w:type="dxa" w:w="1392"/>
            <w:vAlign w:val="center"/>
          </w:tcPr>
          <w:p>
            <w:r>
              <w:rPr>
                <w:sz w:val="16"/>
              </w:rPr>
              <w:t>cont.</w:t>
            </w:r>
          </w:p>
        </w:tc>
        <w:tc>
          <w:tcPr>
            <w:tcW w:type="dxa" w:w="1392"/>
            <w:vAlign w:val="center"/>
          </w:tcPr>
          <w:p>
            <w:r>
              <w:rPr>
                <w:sz w:val="16"/>
              </w:rPr>
              <w:t>sample size</w:t>
            </w:r>
          </w:p>
        </w:tc>
        <w:tc>
          <w:tcPr>
            <w:tcW w:type="dxa" w:w="1392"/>
            <w:vAlign w:val="center"/>
          </w:tcPr>
          <w:p>
            <w:r>
              <w:rPr>
                <w:sz w:val="16"/>
              </w:rPr>
              <w:t>small</w:t>
            </w:r>
          </w:p>
        </w:tc>
        <w:tc>
          <w:tcPr>
            <w:tcW w:type="dxa" w:w="1392"/>
            <w:vAlign w:val="center"/>
          </w:tcPr>
          <w:p>
            <w:r>
              <w:rPr>
                <w:sz w:val="16"/>
              </w:rPr>
              <w:t>4</w:t>
            </w:r>
          </w:p>
        </w:tc>
        <w:tc>
          <w:tcPr>
            <w:tcW w:type="dxa" w:w="1392"/>
            <w:vAlign w:val="center"/>
          </w:tcPr>
          <w:p>
            <w:r>
              <w:rPr>
                <w:sz w:val="16"/>
              </w:rPr>
              <w:t>0.284</w:t>
            </w:r>
          </w:p>
        </w:tc>
        <w:tc>
          <w:tcPr>
            <w:tcW w:type="dxa" w:w="1392"/>
            <w:vAlign w:val="center"/>
          </w:tcPr>
          <w:p>
            <w:r>
              <w:rPr>
                <w:sz w:val="16"/>
              </w:rPr>
              <w:t>0.232 to 0.297</w:t>
            </w:r>
          </w:p>
        </w:tc>
        <w:tc>
          <w:tcPr>
            <w:tcW w:type="dxa" w:w="1392"/>
            <w:vAlign w:val="center"/>
          </w:tcPr>
          <w:p>
            <w:r>
              <w:rPr>
                <w:sz w:val="16"/>
              </w:rPr>
              <w:t>0/4/0</w:t>
            </w:r>
          </w:p>
        </w:tc>
      </w:tr>
    </w:tbl>
    <w:p/>
    <w:p>
      <w:pPr>
        <w:pStyle w:val="Caption"/>
      </w:pPr>
      <w:r>
        <w:t>Panel B. Target-level primary metric: AUROC for binary outcomes and Q² for continuous outcomes.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AUROC</w:t>
            </w:r>
          </w:p>
        </w:tc>
        <w:tc>
          <w:tcPr>
            <w:tcW w:type="dxa" w:w="1083"/>
            <w:vAlign w:val="center"/>
          </w:tcPr>
          <w:p>
            <w:r>
              <w:rPr>
                <w:sz w:val="16"/>
              </w:rPr>
              <w:t>0.883</w:t>
            </w:r>
          </w:p>
        </w:tc>
        <w:tc>
          <w:tcPr>
            <w:tcW w:type="dxa" w:w="1083"/>
            <w:vAlign w:val="center"/>
          </w:tcPr>
          <w:p>
            <w:r>
              <w:rPr>
                <w:sz w:val="16"/>
              </w:rPr>
              <w:t>0.894</w:t>
            </w:r>
          </w:p>
        </w:tc>
        <w:tc>
          <w:tcPr>
            <w:tcW w:type="dxa" w:w="1083"/>
            <w:vAlign w:val="center"/>
          </w:tcPr>
          <w:p>
            <w:r>
              <w:rPr>
                <w:sz w:val="16"/>
              </w:rPr>
              <w:t>0.011</w:t>
            </w:r>
          </w:p>
        </w:tc>
        <w:tc>
          <w:tcPr>
            <w:tcW w:type="dxa" w:w="1083"/>
            <w:vAlign w:val="center"/>
          </w:tcPr>
          <w:p>
            <w:r>
              <w:rPr>
                <w:sz w:val="16"/>
              </w:rPr>
              <w:t>-0.006 to 0.029</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AUROC</w:t>
            </w:r>
          </w:p>
        </w:tc>
        <w:tc>
          <w:tcPr>
            <w:tcW w:type="dxa" w:w="1083"/>
            <w:vAlign w:val="center"/>
          </w:tcPr>
          <w:p>
            <w:r>
              <w:rPr>
                <w:sz w:val="16"/>
              </w:rPr>
              <w:t>0.840</w:t>
            </w:r>
          </w:p>
        </w:tc>
        <w:tc>
          <w:tcPr>
            <w:tcW w:type="dxa" w:w="1083"/>
            <w:vAlign w:val="center"/>
          </w:tcPr>
          <w:p>
            <w:r>
              <w:rPr>
                <w:sz w:val="16"/>
              </w:rPr>
              <w:t>0.845</w:t>
            </w:r>
          </w:p>
        </w:tc>
        <w:tc>
          <w:tcPr>
            <w:tcW w:type="dxa" w:w="1083"/>
            <w:vAlign w:val="center"/>
          </w:tcPr>
          <w:p>
            <w:r>
              <w:rPr>
                <w:sz w:val="16"/>
              </w:rPr>
              <w:t>0.006</w:t>
            </w:r>
          </w:p>
        </w:tc>
        <w:tc>
          <w:tcPr>
            <w:tcW w:type="dxa" w:w="1083"/>
            <w:vAlign w:val="center"/>
          </w:tcPr>
          <w:p>
            <w:r>
              <w:rPr>
                <w:sz w:val="16"/>
              </w:rPr>
              <w:t>-0.010 to 0.022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AUROC</w:t>
            </w:r>
          </w:p>
        </w:tc>
        <w:tc>
          <w:tcPr>
            <w:tcW w:type="dxa" w:w="1083"/>
            <w:vAlign w:val="center"/>
          </w:tcPr>
          <w:p>
            <w:r>
              <w:rPr>
                <w:sz w:val="16"/>
              </w:rPr>
              <w:t>0.781</w:t>
            </w:r>
          </w:p>
        </w:tc>
        <w:tc>
          <w:tcPr>
            <w:tcW w:type="dxa" w:w="1083"/>
            <w:vAlign w:val="center"/>
          </w:tcPr>
          <w:p>
            <w:r>
              <w:rPr>
                <w:sz w:val="16"/>
              </w:rPr>
              <w:t>0.837</w:t>
            </w:r>
          </w:p>
        </w:tc>
        <w:tc>
          <w:tcPr>
            <w:tcW w:type="dxa" w:w="1083"/>
            <w:vAlign w:val="center"/>
          </w:tcPr>
          <w:p>
            <w:r>
              <w:rPr>
                <w:sz w:val="16"/>
              </w:rPr>
              <w:t>0.057</w:t>
            </w:r>
          </w:p>
        </w:tc>
        <w:tc>
          <w:tcPr>
            <w:tcW w:type="dxa" w:w="1083"/>
            <w:vAlign w:val="center"/>
          </w:tcPr>
          <w:p>
            <w:r>
              <w:rPr>
                <w:sz w:val="16"/>
              </w:rPr>
              <w:t>0.008 to 0.112</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AUROC</w:t>
            </w:r>
          </w:p>
        </w:tc>
        <w:tc>
          <w:tcPr>
            <w:tcW w:type="dxa" w:w="1083"/>
            <w:vAlign w:val="center"/>
          </w:tcPr>
          <w:p>
            <w:r>
              <w:rPr>
                <w:sz w:val="16"/>
              </w:rPr>
              <w:t>0.759</w:t>
            </w:r>
          </w:p>
        </w:tc>
        <w:tc>
          <w:tcPr>
            <w:tcW w:type="dxa" w:w="1083"/>
            <w:vAlign w:val="center"/>
          </w:tcPr>
          <w:p>
            <w:r>
              <w:rPr>
                <w:sz w:val="16"/>
              </w:rPr>
              <w:t>0.756</w:t>
            </w:r>
          </w:p>
        </w:tc>
        <w:tc>
          <w:tcPr>
            <w:tcW w:type="dxa" w:w="1083"/>
            <w:vAlign w:val="center"/>
          </w:tcPr>
          <w:p>
            <w:r>
              <w:rPr>
                <w:sz w:val="16"/>
              </w:rPr>
              <w:t>-0.003</w:t>
            </w:r>
          </w:p>
        </w:tc>
        <w:tc>
          <w:tcPr>
            <w:tcW w:type="dxa" w:w="1083"/>
            <w:vAlign w:val="center"/>
          </w:tcPr>
          <w:p>
            <w:r>
              <w:rPr>
                <w:sz w:val="16"/>
              </w:rPr>
              <w:t>-0.012 to 0.005</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AUROC</w:t>
            </w:r>
          </w:p>
        </w:tc>
        <w:tc>
          <w:tcPr>
            <w:tcW w:type="dxa" w:w="1083"/>
            <w:vAlign w:val="center"/>
          </w:tcPr>
          <w:p>
            <w:r>
              <w:rPr>
                <w:sz w:val="16"/>
              </w:rPr>
              <w:t>0.747</w:t>
            </w:r>
          </w:p>
        </w:tc>
        <w:tc>
          <w:tcPr>
            <w:tcW w:type="dxa" w:w="1083"/>
            <w:vAlign w:val="center"/>
          </w:tcPr>
          <w:p>
            <w:r>
              <w:rPr>
                <w:sz w:val="16"/>
              </w:rPr>
              <w:t>0.746</w:t>
            </w:r>
          </w:p>
        </w:tc>
        <w:tc>
          <w:tcPr>
            <w:tcW w:type="dxa" w:w="1083"/>
            <w:vAlign w:val="center"/>
          </w:tcPr>
          <w:p>
            <w:r>
              <w:rPr>
                <w:sz w:val="16"/>
              </w:rPr>
              <w:t>-0.001</w:t>
            </w:r>
          </w:p>
        </w:tc>
        <w:tc>
          <w:tcPr>
            <w:tcW w:type="dxa" w:w="1083"/>
            <w:vAlign w:val="center"/>
          </w:tcPr>
          <w:p>
            <w:r>
              <w:rPr>
                <w:sz w:val="16"/>
              </w:rPr>
              <w:t>-0.026 to 0.024</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AUROC</w:t>
            </w:r>
          </w:p>
        </w:tc>
        <w:tc>
          <w:tcPr>
            <w:tcW w:type="dxa" w:w="1083"/>
            <w:vAlign w:val="center"/>
          </w:tcPr>
          <w:p>
            <w:r>
              <w:rPr>
                <w:sz w:val="16"/>
              </w:rPr>
              <w:t>0.718</w:t>
            </w:r>
          </w:p>
        </w:tc>
        <w:tc>
          <w:tcPr>
            <w:tcW w:type="dxa" w:w="1083"/>
            <w:vAlign w:val="center"/>
          </w:tcPr>
          <w:p>
            <w:r>
              <w:rPr>
                <w:sz w:val="16"/>
              </w:rPr>
              <w:t>0.744</w:t>
            </w:r>
          </w:p>
        </w:tc>
        <w:tc>
          <w:tcPr>
            <w:tcW w:type="dxa" w:w="1083"/>
            <w:vAlign w:val="center"/>
          </w:tcPr>
          <w:p>
            <w:r>
              <w:rPr>
                <w:sz w:val="16"/>
              </w:rPr>
              <w:t>0.027</w:t>
            </w:r>
          </w:p>
        </w:tc>
        <w:tc>
          <w:tcPr>
            <w:tcW w:type="dxa" w:w="1083"/>
            <w:vAlign w:val="center"/>
          </w:tcPr>
          <w:p>
            <w:r>
              <w:rPr>
                <w:sz w:val="16"/>
              </w:rPr>
              <w:t>0.004 to 0.048</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AUROC</w:t>
            </w:r>
          </w:p>
        </w:tc>
        <w:tc>
          <w:tcPr>
            <w:tcW w:type="dxa" w:w="1083"/>
            <w:vAlign w:val="center"/>
          </w:tcPr>
          <w:p>
            <w:r>
              <w:rPr>
                <w:sz w:val="16"/>
              </w:rPr>
              <w:t>0.705</w:t>
            </w:r>
          </w:p>
        </w:tc>
        <w:tc>
          <w:tcPr>
            <w:tcW w:type="dxa" w:w="1083"/>
            <w:vAlign w:val="center"/>
          </w:tcPr>
          <w:p>
            <w:r>
              <w:rPr>
                <w:sz w:val="16"/>
              </w:rPr>
              <w:t>0.713</w:t>
            </w:r>
          </w:p>
        </w:tc>
        <w:tc>
          <w:tcPr>
            <w:tcW w:type="dxa" w:w="1083"/>
            <w:vAlign w:val="center"/>
          </w:tcPr>
          <w:p>
            <w:r>
              <w:rPr>
                <w:sz w:val="16"/>
              </w:rPr>
              <w:t>0.008</w:t>
            </w:r>
          </w:p>
        </w:tc>
        <w:tc>
          <w:tcPr>
            <w:tcW w:type="dxa" w:w="1083"/>
            <w:vAlign w:val="center"/>
          </w:tcPr>
          <w:p>
            <w:r>
              <w:rPr>
                <w:sz w:val="16"/>
              </w:rPr>
              <w:t>-0.006 to 0.023</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AUROC</w:t>
            </w:r>
          </w:p>
        </w:tc>
        <w:tc>
          <w:tcPr>
            <w:tcW w:type="dxa" w:w="1083"/>
            <w:vAlign w:val="center"/>
          </w:tcPr>
          <w:p>
            <w:r>
              <w:rPr>
                <w:sz w:val="16"/>
              </w:rPr>
              <w:t>0.674</w:t>
            </w:r>
          </w:p>
        </w:tc>
        <w:tc>
          <w:tcPr>
            <w:tcW w:type="dxa" w:w="1083"/>
            <w:vAlign w:val="center"/>
          </w:tcPr>
          <w:p>
            <w:r>
              <w:rPr>
                <w:sz w:val="16"/>
              </w:rPr>
              <w:t>0.689</w:t>
            </w:r>
          </w:p>
        </w:tc>
        <w:tc>
          <w:tcPr>
            <w:tcW w:type="dxa" w:w="1083"/>
            <w:vAlign w:val="center"/>
          </w:tcPr>
          <w:p>
            <w:r>
              <w:rPr>
                <w:sz w:val="16"/>
              </w:rPr>
              <w:t>0.014</w:t>
            </w:r>
          </w:p>
        </w:tc>
        <w:tc>
          <w:tcPr>
            <w:tcW w:type="dxa" w:w="1083"/>
            <w:vAlign w:val="center"/>
          </w:tcPr>
          <w:p>
            <w:r>
              <w:rPr>
                <w:sz w:val="16"/>
              </w:rPr>
              <w:t>-0.009 to 0.039</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AUROC</w:t>
            </w:r>
          </w:p>
        </w:tc>
        <w:tc>
          <w:tcPr>
            <w:tcW w:type="dxa" w:w="1083"/>
            <w:vAlign w:val="center"/>
          </w:tcPr>
          <w:p>
            <w:r>
              <w:rPr>
                <w:sz w:val="16"/>
              </w:rPr>
              <w:t>0.664</w:t>
            </w:r>
          </w:p>
        </w:tc>
        <w:tc>
          <w:tcPr>
            <w:tcW w:type="dxa" w:w="1083"/>
            <w:vAlign w:val="center"/>
          </w:tcPr>
          <w:p>
            <w:r>
              <w:rPr>
                <w:sz w:val="16"/>
              </w:rPr>
              <w:t>0.661</w:t>
            </w:r>
          </w:p>
        </w:tc>
        <w:tc>
          <w:tcPr>
            <w:tcW w:type="dxa" w:w="1083"/>
            <w:vAlign w:val="center"/>
          </w:tcPr>
          <w:p>
            <w:r>
              <w:rPr>
                <w:sz w:val="16"/>
              </w:rPr>
              <w:t>-0.003</w:t>
            </w:r>
          </w:p>
        </w:tc>
        <w:tc>
          <w:tcPr>
            <w:tcW w:type="dxa" w:w="1083"/>
            <w:vAlign w:val="center"/>
          </w:tcPr>
          <w:p>
            <w:r>
              <w:rPr>
                <w:sz w:val="16"/>
              </w:rPr>
              <w:t>-0.047 to 0.038</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AUROC</w:t>
            </w:r>
          </w:p>
        </w:tc>
        <w:tc>
          <w:tcPr>
            <w:tcW w:type="dxa" w:w="1083"/>
            <w:vAlign w:val="center"/>
          </w:tcPr>
          <w:p>
            <w:r>
              <w:rPr>
                <w:sz w:val="16"/>
              </w:rPr>
              <w:t>0.658</w:t>
            </w:r>
          </w:p>
        </w:tc>
        <w:tc>
          <w:tcPr>
            <w:tcW w:type="dxa" w:w="1083"/>
            <w:vAlign w:val="center"/>
          </w:tcPr>
          <w:p>
            <w:r>
              <w:rPr>
                <w:sz w:val="16"/>
              </w:rPr>
              <w:t>0.692</w:t>
            </w:r>
          </w:p>
        </w:tc>
        <w:tc>
          <w:tcPr>
            <w:tcW w:type="dxa" w:w="1083"/>
            <w:vAlign w:val="center"/>
          </w:tcPr>
          <w:p>
            <w:r>
              <w:rPr>
                <w:sz w:val="16"/>
              </w:rPr>
              <w:t>0.034</w:t>
            </w:r>
          </w:p>
        </w:tc>
        <w:tc>
          <w:tcPr>
            <w:tcW w:type="dxa" w:w="1083"/>
            <w:vAlign w:val="center"/>
          </w:tcPr>
          <w:p>
            <w:r>
              <w:rPr>
                <w:sz w:val="16"/>
              </w:rPr>
              <w:t>0.017 to 0.051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AUROC</w:t>
            </w:r>
          </w:p>
        </w:tc>
        <w:tc>
          <w:tcPr>
            <w:tcW w:type="dxa" w:w="1083"/>
            <w:vAlign w:val="center"/>
          </w:tcPr>
          <w:p>
            <w:r>
              <w:rPr>
                <w:sz w:val="16"/>
              </w:rPr>
              <w:t>0.652</w:t>
            </w:r>
          </w:p>
        </w:tc>
        <w:tc>
          <w:tcPr>
            <w:tcW w:type="dxa" w:w="1083"/>
            <w:vAlign w:val="center"/>
          </w:tcPr>
          <w:p>
            <w:r>
              <w:rPr>
                <w:sz w:val="16"/>
              </w:rPr>
              <w:t>0.719</w:t>
            </w:r>
          </w:p>
        </w:tc>
        <w:tc>
          <w:tcPr>
            <w:tcW w:type="dxa" w:w="1083"/>
            <w:vAlign w:val="center"/>
          </w:tcPr>
          <w:p>
            <w:r>
              <w:rPr>
                <w:sz w:val="16"/>
              </w:rPr>
              <w:t>0.067</w:t>
            </w:r>
          </w:p>
        </w:tc>
        <w:tc>
          <w:tcPr>
            <w:tcW w:type="dxa" w:w="1083"/>
            <w:vAlign w:val="center"/>
          </w:tcPr>
          <w:p>
            <w:r>
              <w:rPr>
                <w:sz w:val="16"/>
              </w:rPr>
              <w:t>0.023 to 0.117</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AUROC</w:t>
            </w:r>
          </w:p>
        </w:tc>
        <w:tc>
          <w:tcPr>
            <w:tcW w:type="dxa" w:w="1083"/>
            <w:vAlign w:val="center"/>
          </w:tcPr>
          <w:p>
            <w:r>
              <w:rPr>
                <w:sz w:val="16"/>
              </w:rPr>
              <w:t>0.651</w:t>
            </w:r>
          </w:p>
        </w:tc>
        <w:tc>
          <w:tcPr>
            <w:tcW w:type="dxa" w:w="1083"/>
            <w:vAlign w:val="center"/>
          </w:tcPr>
          <w:p>
            <w:r>
              <w:rPr>
                <w:sz w:val="16"/>
              </w:rPr>
              <w:t>0.651</w:t>
            </w:r>
          </w:p>
        </w:tc>
        <w:tc>
          <w:tcPr>
            <w:tcW w:type="dxa" w:w="1083"/>
            <w:vAlign w:val="center"/>
          </w:tcPr>
          <w:p>
            <w:r>
              <w:rPr>
                <w:sz w:val="16"/>
              </w:rPr>
              <w:t>0.000</w:t>
            </w:r>
          </w:p>
        </w:tc>
        <w:tc>
          <w:tcPr>
            <w:tcW w:type="dxa" w:w="1083"/>
            <w:vAlign w:val="center"/>
          </w:tcPr>
          <w:p>
            <w:r>
              <w:rPr>
                <w:sz w:val="16"/>
              </w:rPr>
              <w:t>-0.021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AUROC</w:t>
            </w:r>
          </w:p>
        </w:tc>
        <w:tc>
          <w:tcPr>
            <w:tcW w:type="dxa" w:w="1083"/>
            <w:vAlign w:val="center"/>
          </w:tcPr>
          <w:p>
            <w:r>
              <w:rPr>
                <w:sz w:val="16"/>
              </w:rPr>
              <w:t>0.643</w:t>
            </w:r>
          </w:p>
        </w:tc>
        <w:tc>
          <w:tcPr>
            <w:tcW w:type="dxa" w:w="1083"/>
            <w:vAlign w:val="center"/>
          </w:tcPr>
          <w:p>
            <w:r>
              <w:rPr>
                <w:sz w:val="16"/>
              </w:rPr>
              <w:t>0.640</w:t>
            </w:r>
          </w:p>
        </w:tc>
        <w:tc>
          <w:tcPr>
            <w:tcW w:type="dxa" w:w="1083"/>
            <w:vAlign w:val="center"/>
          </w:tcPr>
          <w:p>
            <w:r>
              <w:rPr>
                <w:sz w:val="16"/>
              </w:rPr>
              <w:t>-0.003</w:t>
            </w:r>
          </w:p>
        </w:tc>
        <w:tc>
          <w:tcPr>
            <w:tcW w:type="dxa" w:w="1083"/>
            <w:vAlign w:val="center"/>
          </w:tcPr>
          <w:p>
            <w:r>
              <w:rPr>
                <w:sz w:val="16"/>
              </w:rPr>
              <w:t>-0.022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AUROC</w:t>
            </w:r>
          </w:p>
        </w:tc>
        <w:tc>
          <w:tcPr>
            <w:tcW w:type="dxa" w:w="1083"/>
            <w:vAlign w:val="center"/>
          </w:tcPr>
          <w:p>
            <w:r>
              <w:rPr>
                <w:sz w:val="16"/>
              </w:rPr>
              <w:t>0.640</w:t>
            </w:r>
          </w:p>
        </w:tc>
        <w:tc>
          <w:tcPr>
            <w:tcW w:type="dxa" w:w="1083"/>
            <w:vAlign w:val="center"/>
          </w:tcPr>
          <w:p>
            <w:r>
              <w:rPr>
                <w:sz w:val="16"/>
              </w:rPr>
              <w:t>0.675</w:t>
            </w:r>
          </w:p>
        </w:tc>
        <w:tc>
          <w:tcPr>
            <w:tcW w:type="dxa" w:w="1083"/>
            <w:vAlign w:val="center"/>
          </w:tcPr>
          <w:p>
            <w:r>
              <w:rPr>
                <w:sz w:val="16"/>
              </w:rPr>
              <w:t>0.035</w:t>
            </w:r>
          </w:p>
        </w:tc>
        <w:tc>
          <w:tcPr>
            <w:tcW w:type="dxa" w:w="1083"/>
            <w:vAlign w:val="center"/>
          </w:tcPr>
          <w:p>
            <w:r>
              <w:rPr>
                <w:sz w:val="16"/>
              </w:rPr>
              <w:t>0.005 to 0.065</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AUROC</w:t>
            </w:r>
          </w:p>
        </w:tc>
        <w:tc>
          <w:tcPr>
            <w:tcW w:type="dxa" w:w="1083"/>
            <w:vAlign w:val="center"/>
          </w:tcPr>
          <w:p>
            <w:r>
              <w:rPr>
                <w:sz w:val="16"/>
              </w:rPr>
              <w:t>0.639</w:t>
            </w:r>
          </w:p>
        </w:tc>
        <w:tc>
          <w:tcPr>
            <w:tcW w:type="dxa" w:w="1083"/>
            <w:vAlign w:val="center"/>
          </w:tcPr>
          <w:p>
            <w:r>
              <w:rPr>
                <w:sz w:val="16"/>
              </w:rPr>
              <w:t>0.670</w:t>
            </w:r>
          </w:p>
        </w:tc>
        <w:tc>
          <w:tcPr>
            <w:tcW w:type="dxa" w:w="1083"/>
            <w:vAlign w:val="center"/>
          </w:tcPr>
          <w:p>
            <w:r>
              <w:rPr>
                <w:sz w:val="16"/>
              </w:rPr>
              <w:t>0.031</w:t>
            </w:r>
          </w:p>
        </w:tc>
        <w:tc>
          <w:tcPr>
            <w:tcW w:type="dxa" w:w="1083"/>
            <w:vAlign w:val="center"/>
          </w:tcPr>
          <w:p>
            <w:r>
              <w:rPr>
                <w:sz w:val="16"/>
              </w:rPr>
              <w:t>0.003 to 0.063</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AUROC</w:t>
            </w:r>
          </w:p>
        </w:tc>
        <w:tc>
          <w:tcPr>
            <w:tcW w:type="dxa" w:w="1083"/>
            <w:vAlign w:val="center"/>
          </w:tcPr>
          <w:p>
            <w:r>
              <w:rPr>
                <w:sz w:val="16"/>
              </w:rPr>
              <w:t>0.627</w:t>
            </w:r>
          </w:p>
        </w:tc>
        <w:tc>
          <w:tcPr>
            <w:tcW w:type="dxa" w:w="1083"/>
            <w:vAlign w:val="center"/>
          </w:tcPr>
          <w:p>
            <w:r>
              <w:rPr>
                <w:sz w:val="16"/>
              </w:rPr>
              <w:t>0.662</w:t>
            </w:r>
          </w:p>
        </w:tc>
        <w:tc>
          <w:tcPr>
            <w:tcW w:type="dxa" w:w="1083"/>
            <w:vAlign w:val="center"/>
          </w:tcPr>
          <w:p>
            <w:r>
              <w:rPr>
                <w:sz w:val="16"/>
              </w:rPr>
              <w:t>0.035</w:t>
            </w:r>
          </w:p>
        </w:tc>
        <w:tc>
          <w:tcPr>
            <w:tcW w:type="dxa" w:w="1083"/>
            <w:vAlign w:val="center"/>
          </w:tcPr>
          <w:p>
            <w:r>
              <w:rPr>
                <w:sz w:val="16"/>
              </w:rPr>
              <w:t>-0.014 to 0.086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AUROC</w:t>
            </w:r>
          </w:p>
        </w:tc>
        <w:tc>
          <w:tcPr>
            <w:tcW w:type="dxa" w:w="1083"/>
            <w:vAlign w:val="center"/>
          </w:tcPr>
          <w:p>
            <w:r>
              <w:rPr>
                <w:sz w:val="16"/>
              </w:rPr>
              <w:t>0.625</w:t>
            </w:r>
          </w:p>
        </w:tc>
        <w:tc>
          <w:tcPr>
            <w:tcW w:type="dxa" w:w="1083"/>
            <w:vAlign w:val="center"/>
          </w:tcPr>
          <w:p>
            <w:r>
              <w:rPr>
                <w:sz w:val="16"/>
              </w:rPr>
              <w:t>0.651</w:t>
            </w:r>
          </w:p>
        </w:tc>
        <w:tc>
          <w:tcPr>
            <w:tcW w:type="dxa" w:w="1083"/>
            <w:vAlign w:val="center"/>
          </w:tcPr>
          <w:p>
            <w:r>
              <w:rPr>
                <w:sz w:val="16"/>
              </w:rPr>
              <w:t>0.027</w:t>
            </w:r>
          </w:p>
        </w:tc>
        <w:tc>
          <w:tcPr>
            <w:tcW w:type="dxa" w:w="1083"/>
            <w:vAlign w:val="center"/>
          </w:tcPr>
          <w:p>
            <w:r>
              <w:rPr>
                <w:sz w:val="16"/>
              </w:rPr>
              <w:t>-0.006 to 0.059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AUROC</w:t>
            </w:r>
          </w:p>
        </w:tc>
        <w:tc>
          <w:tcPr>
            <w:tcW w:type="dxa" w:w="1083"/>
            <w:vAlign w:val="center"/>
          </w:tcPr>
          <w:p>
            <w:r>
              <w:rPr>
                <w:sz w:val="16"/>
              </w:rPr>
              <w:t>0.623</w:t>
            </w:r>
          </w:p>
        </w:tc>
        <w:tc>
          <w:tcPr>
            <w:tcW w:type="dxa" w:w="1083"/>
            <w:vAlign w:val="center"/>
          </w:tcPr>
          <w:p>
            <w:r>
              <w:rPr>
                <w:sz w:val="16"/>
              </w:rPr>
              <w:t>0.624</w:t>
            </w:r>
          </w:p>
        </w:tc>
        <w:tc>
          <w:tcPr>
            <w:tcW w:type="dxa" w:w="1083"/>
            <w:vAlign w:val="center"/>
          </w:tcPr>
          <w:p>
            <w:r>
              <w:rPr>
                <w:sz w:val="16"/>
              </w:rPr>
              <w:t>0.001</w:t>
            </w:r>
          </w:p>
        </w:tc>
        <w:tc>
          <w:tcPr>
            <w:tcW w:type="dxa" w:w="1083"/>
            <w:vAlign w:val="center"/>
          </w:tcPr>
          <w:p>
            <w:r>
              <w:rPr>
                <w:sz w:val="16"/>
              </w:rPr>
              <w:t>-0.071 to 0.082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AUROC</w:t>
            </w:r>
          </w:p>
        </w:tc>
        <w:tc>
          <w:tcPr>
            <w:tcW w:type="dxa" w:w="1083"/>
            <w:vAlign w:val="center"/>
          </w:tcPr>
          <w:p>
            <w:r>
              <w:rPr>
                <w:sz w:val="16"/>
              </w:rPr>
              <w:t>0.620</w:t>
            </w:r>
          </w:p>
        </w:tc>
        <w:tc>
          <w:tcPr>
            <w:tcW w:type="dxa" w:w="1083"/>
            <w:vAlign w:val="center"/>
          </w:tcPr>
          <w:p>
            <w:r>
              <w:rPr>
                <w:sz w:val="16"/>
              </w:rPr>
              <w:t>0.611</w:t>
            </w:r>
          </w:p>
        </w:tc>
        <w:tc>
          <w:tcPr>
            <w:tcW w:type="dxa" w:w="1083"/>
            <w:vAlign w:val="center"/>
          </w:tcPr>
          <w:p>
            <w:r>
              <w:rPr>
                <w:sz w:val="16"/>
              </w:rPr>
              <w:t>-0.009</w:t>
            </w:r>
          </w:p>
        </w:tc>
        <w:tc>
          <w:tcPr>
            <w:tcW w:type="dxa" w:w="1083"/>
            <w:vAlign w:val="center"/>
          </w:tcPr>
          <w:p>
            <w:r>
              <w:rPr>
                <w:sz w:val="16"/>
              </w:rPr>
              <w:t>-0.034 to 0.015</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AUROC</w:t>
            </w:r>
          </w:p>
        </w:tc>
        <w:tc>
          <w:tcPr>
            <w:tcW w:type="dxa" w:w="1083"/>
            <w:vAlign w:val="center"/>
          </w:tcPr>
          <w:p>
            <w:r>
              <w:rPr>
                <w:sz w:val="16"/>
              </w:rPr>
              <w:t>0.615</w:t>
            </w:r>
          </w:p>
        </w:tc>
        <w:tc>
          <w:tcPr>
            <w:tcW w:type="dxa" w:w="1083"/>
            <w:vAlign w:val="center"/>
          </w:tcPr>
          <w:p>
            <w:r>
              <w:rPr>
                <w:sz w:val="16"/>
              </w:rPr>
              <w:t>0.597</w:t>
            </w:r>
          </w:p>
        </w:tc>
        <w:tc>
          <w:tcPr>
            <w:tcW w:type="dxa" w:w="1083"/>
            <w:vAlign w:val="center"/>
          </w:tcPr>
          <w:p>
            <w:r>
              <w:rPr>
                <w:sz w:val="16"/>
              </w:rPr>
              <w:t>-0.018</w:t>
            </w:r>
          </w:p>
        </w:tc>
        <w:tc>
          <w:tcPr>
            <w:tcW w:type="dxa" w:w="1083"/>
            <w:vAlign w:val="center"/>
          </w:tcPr>
          <w:p>
            <w:r>
              <w:rPr>
                <w:sz w:val="16"/>
              </w:rPr>
              <w:t>-0.072 to 0.038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AUROC</w:t>
            </w:r>
          </w:p>
        </w:tc>
        <w:tc>
          <w:tcPr>
            <w:tcW w:type="dxa" w:w="1083"/>
            <w:vAlign w:val="center"/>
          </w:tcPr>
          <w:p>
            <w:r>
              <w:rPr>
                <w:sz w:val="16"/>
              </w:rPr>
              <w:t>0.598</w:t>
            </w:r>
          </w:p>
        </w:tc>
        <w:tc>
          <w:tcPr>
            <w:tcW w:type="dxa" w:w="1083"/>
            <w:vAlign w:val="center"/>
          </w:tcPr>
          <w:p>
            <w:r>
              <w:rPr>
                <w:sz w:val="16"/>
              </w:rPr>
              <w:t>0.598</w:t>
            </w:r>
          </w:p>
        </w:tc>
        <w:tc>
          <w:tcPr>
            <w:tcW w:type="dxa" w:w="1083"/>
            <w:vAlign w:val="center"/>
          </w:tcPr>
          <w:p>
            <w:r>
              <w:rPr>
                <w:sz w:val="16"/>
              </w:rPr>
              <w:t>0.000</w:t>
            </w:r>
          </w:p>
        </w:tc>
        <w:tc>
          <w:tcPr>
            <w:tcW w:type="dxa" w:w="1083"/>
            <w:vAlign w:val="center"/>
          </w:tcPr>
          <w:p>
            <w:r>
              <w:rPr>
                <w:sz w:val="16"/>
              </w:rPr>
              <w:t>-0.030 to 0.030</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AUROC</w:t>
            </w:r>
          </w:p>
        </w:tc>
        <w:tc>
          <w:tcPr>
            <w:tcW w:type="dxa" w:w="1083"/>
            <w:vAlign w:val="center"/>
          </w:tcPr>
          <w:p>
            <w:r>
              <w:rPr>
                <w:sz w:val="16"/>
              </w:rPr>
              <w:t>0.590</w:t>
            </w:r>
          </w:p>
        </w:tc>
        <w:tc>
          <w:tcPr>
            <w:tcW w:type="dxa" w:w="1083"/>
            <w:vAlign w:val="center"/>
          </w:tcPr>
          <w:p>
            <w:r>
              <w:rPr>
                <w:sz w:val="16"/>
              </w:rPr>
              <w:t>0.600</w:t>
            </w:r>
          </w:p>
        </w:tc>
        <w:tc>
          <w:tcPr>
            <w:tcW w:type="dxa" w:w="1083"/>
            <w:vAlign w:val="center"/>
          </w:tcPr>
          <w:p>
            <w:r>
              <w:rPr>
                <w:sz w:val="16"/>
              </w:rPr>
              <w:t>0.010</w:t>
            </w:r>
          </w:p>
        </w:tc>
        <w:tc>
          <w:tcPr>
            <w:tcW w:type="dxa" w:w="1083"/>
            <w:vAlign w:val="center"/>
          </w:tcPr>
          <w:p>
            <w:r>
              <w:rPr>
                <w:sz w:val="16"/>
              </w:rPr>
              <w:t>-0.030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AUROC</w:t>
            </w:r>
          </w:p>
        </w:tc>
        <w:tc>
          <w:tcPr>
            <w:tcW w:type="dxa" w:w="1083"/>
            <w:vAlign w:val="center"/>
          </w:tcPr>
          <w:p>
            <w:r>
              <w:rPr>
                <w:sz w:val="16"/>
              </w:rPr>
              <w:t>0.573</w:t>
            </w:r>
          </w:p>
        </w:tc>
        <w:tc>
          <w:tcPr>
            <w:tcW w:type="dxa" w:w="1083"/>
            <w:vAlign w:val="center"/>
          </w:tcPr>
          <w:p>
            <w:r>
              <w:rPr>
                <w:sz w:val="16"/>
              </w:rPr>
              <w:t>0.573</w:t>
            </w:r>
          </w:p>
        </w:tc>
        <w:tc>
          <w:tcPr>
            <w:tcW w:type="dxa" w:w="1083"/>
            <w:vAlign w:val="center"/>
          </w:tcPr>
          <w:p>
            <w:r>
              <w:rPr>
                <w:sz w:val="16"/>
              </w:rPr>
              <w:t>-0.000</w:t>
            </w:r>
          </w:p>
        </w:tc>
        <w:tc>
          <w:tcPr>
            <w:tcW w:type="dxa" w:w="1083"/>
            <w:vAlign w:val="center"/>
          </w:tcPr>
          <w:p>
            <w:r>
              <w:rPr>
                <w:sz w:val="16"/>
              </w:rPr>
              <w:t>-0.019 to 0.018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AUROC</w:t>
            </w:r>
          </w:p>
        </w:tc>
        <w:tc>
          <w:tcPr>
            <w:tcW w:type="dxa" w:w="1083"/>
            <w:vAlign w:val="center"/>
          </w:tcPr>
          <w:p>
            <w:r>
              <w:rPr>
                <w:sz w:val="16"/>
              </w:rPr>
              <w:t>0.566</w:t>
            </w:r>
          </w:p>
        </w:tc>
        <w:tc>
          <w:tcPr>
            <w:tcW w:type="dxa" w:w="1083"/>
            <w:vAlign w:val="center"/>
          </w:tcPr>
          <w:p>
            <w:r>
              <w:rPr>
                <w:sz w:val="16"/>
              </w:rPr>
              <w:t>0.560</w:t>
            </w:r>
          </w:p>
        </w:tc>
        <w:tc>
          <w:tcPr>
            <w:tcW w:type="dxa" w:w="1083"/>
            <w:vAlign w:val="center"/>
          </w:tcPr>
          <w:p>
            <w:r>
              <w:rPr>
                <w:sz w:val="16"/>
              </w:rPr>
              <w:t>-0.005</w:t>
            </w:r>
          </w:p>
        </w:tc>
        <w:tc>
          <w:tcPr>
            <w:tcW w:type="dxa" w:w="1083"/>
            <w:vAlign w:val="center"/>
          </w:tcPr>
          <w:p>
            <w:r>
              <w:rPr>
                <w:sz w:val="16"/>
              </w:rPr>
              <w:t>-0.073 to 0.056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AUROC</w:t>
            </w:r>
          </w:p>
        </w:tc>
        <w:tc>
          <w:tcPr>
            <w:tcW w:type="dxa" w:w="1083"/>
            <w:vAlign w:val="center"/>
          </w:tcPr>
          <w:p>
            <w:r>
              <w:rPr>
                <w:sz w:val="16"/>
              </w:rPr>
              <w:t>0.559</w:t>
            </w:r>
          </w:p>
        </w:tc>
        <w:tc>
          <w:tcPr>
            <w:tcW w:type="dxa" w:w="1083"/>
            <w:vAlign w:val="center"/>
          </w:tcPr>
          <w:p>
            <w:r>
              <w:rPr>
                <w:sz w:val="16"/>
              </w:rPr>
              <w:t>0.563</w:t>
            </w:r>
          </w:p>
        </w:tc>
        <w:tc>
          <w:tcPr>
            <w:tcW w:type="dxa" w:w="1083"/>
            <w:vAlign w:val="center"/>
          </w:tcPr>
          <w:p>
            <w:r>
              <w:rPr>
                <w:sz w:val="16"/>
              </w:rPr>
              <w:t>0.005</w:t>
            </w:r>
          </w:p>
        </w:tc>
        <w:tc>
          <w:tcPr>
            <w:tcW w:type="dxa" w:w="1083"/>
            <w:vAlign w:val="center"/>
          </w:tcPr>
          <w:p>
            <w:r>
              <w:rPr>
                <w:sz w:val="16"/>
              </w:rPr>
              <w:t>-0.024 to 0.032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AUROC</w:t>
            </w:r>
          </w:p>
        </w:tc>
        <w:tc>
          <w:tcPr>
            <w:tcW w:type="dxa" w:w="1083"/>
            <w:vAlign w:val="center"/>
          </w:tcPr>
          <w:p>
            <w:r>
              <w:rPr>
                <w:sz w:val="16"/>
              </w:rPr>
              <w:t>0.555</w:t>
            </w:r>
          </w:p>
        </w:tc>
        <w:tc>
          <w:tcPr>
            <w:tcW w:type="dxa" w:w="1083"/>
            <w:vAlign w:val="center"/>
          </w:tcPr>
          <w:p>
            <w:r>
              <w:rPr>
                <w:sz w:val="16"/>
              </w:rPr>
              <w:t>0.583</w:t>
            </w:r>
          </w:p>
        </w:tc>
        <w:tc>
          <w:tcPr>
            <w:tcW w:type="dxa" w:w="1083"/>
            <w:vAlign w:val="center"/>
          </w:tcPr>
          <w:p>
            <w:r>
              <w:rPr>
                <w:sz w:val="16"/>
              </w:rPr>
              <w:t>0.028</w:t>
            </w:r>
          </w:p>
        </w:tc>
        <w:tc>
          <w:tcPr>
            <w:tcW w:type="dxa" w:w="1083"/>
            <w:vAlign w:val="center"/>
          </w:tcPr>
          <w:p>
            <w:r>
              <w:rPr>
                <w:sz w:val="16"/>
              </w:rPr>
              <w:t>0.003 to 0.057</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AUROC</w:t>
            </w:r>
          </w:p>
        </w:tc>
        <w:tc>
          <w:tcPr>
            <w:tcW w:type="dxa" w:w="1083"/>
            <w:vAlign w:val="center"/>
          </w:tcPr>
          <w:p>
            <w:r>
              <w:rPr>
                <w:sz w:val="16"/>
              </w:rPr>
              <w:t>0.543</w:t>
            </w:r>
          </w:p>
        </w:tc>
        <w:tc>
          <w:tcPr>
            <w:tcW w:type="dxa" w:w="1083"/>
            <w:vAlign w:val="center"/>
          </w:tcPr>
          <w:p>
            <w:r>
              <w:rPr>
                <w:sz w:val="16"/>
              </w:rPr>
              <w:t>0.555</w:t>
            </w:r>
          </w:p>
        </w:tc>
        <w:tc>
          <w:tcPr>
            <w:tcW w:type="dxa" w:w="1083"/>
            <w:vAlign w:val="center"/>
          </w:tcPr>
          <w:p>
            <w:r>
              <w:rPr>
                <w:sz w:val="16"/>
              </w:rPr>
              <w:t>0.012</w:t>
            </w:r>
          </w:p>
        </w:tc>
        <w:tc>
          <w:tcPr>
            <w:tcW w:type="dxa" w:w="1083"/>
            <w:vAlign w:val="center"/>
          </w:tcPr>
          <w:p>
            <w:r>
              <w:rPr>
                <w:sz w:val="16"/>
              </w:rPr>
              <w:t>-0.032 to 0.060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AUROC</w:t>
            </w:r>
          </w:p>
        </w:tc>
        <w:tc>
          <w:tcPr>
            <w:tcW w:type="dxa" w:w="1083"/>
            <w:vAlign w:val="center"/>
          </w:tcPr>
          <w:p>
            <w:r>
              <w:rPr>
                <w:sz w:val="16"/>
              </w:rPr>
              <w:t>0.540</w:t>
            </w:r>
          </w:p>
        </w:tc>
        <w:tc>
          <w:tcPr>
            <w:tcW w:type="dxa" w:w="1083"/>
            <w:vAlign w:val="center"/>
          </w:tcPr>
          <w:p>
            <w:r>
              <w:rPr>
                <w:sz w:val="16"/>
              </w:rPr>
              <w:t>0.606</w:t>
            </w:r>
          </w:p>
        </w:tc>
        <w:tc>
          <w:tcPr>
            <w:tcW w:type="dxa" w:w="1083"/>
            <w:vAlign w:val="center"/>
          </w:tcPr>
          <w:p>
            <w:r>
              <w:rPr>
                <w:sz w:val="16"/>
              </w:rPr>
              <w:t>0.066</w:t>
            </w:r>
          </w:p>
        </w:tc>
        <w:tc>
          <w:tcPr>
            <w:tcW w:type="dxa" w:w="1083"/>
            <w:vAlign w:val="center"/>
          </w:tcPr>
          <w:p>
            <w:r>
              <w:rPr>
                <w:sz w:val="16"/>
              </w:rPr>
              <w:t>-0.005 to 0.137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AUROC</w:t>
            </w:r>
          </w:p>
        </w:tc>
        <w:tc>
          <w:tcPr>
            <w:tcW w:type="dxa" w:w="1083"/>
            <w:vAlign w:val="center"/>
          </w:tcPr>
          <w:p>
            <w:r>
              <w:rPr>
                <w:sz w:val="16"/>
              </w:rPr>
              <w:t>0.534</w:t>
            </w:r>
          </w:p>
        </w:tc>
        <w:tc>
          <w:tcPr>
            <w:tcW w:type="dxa" w:w="1083"/>
            <w:vAlign w:val="center"/>
          </w:tcPr>
          <w:p>
            <w:r>
              <w:rPr>
                <w:sz w:val="16"/>
              </w:rPr>
              <w:t>0.530</w:t>
            </w:r>
          </w:p>
        </w:tc>
        <w:tc>
          <w:tcPr>
            <w:tcW w:type="dxa" w:w="1083"/>
            <w:vAlign w:val="center"/>
          </w:tcPr>
          <w:p>
            <w:r>
              <w:rPr>
                <w:sz w:val="16"/>
              </w:rPr>
              <w:t>-0.003</w:t>
            </w:r>
          </w:p>
        </w:tc>
        <w:tc>
          <w:tcPr>
            <w:tcW w:type="dxa" w:w="1083"/>
            <w:vAlign w:val="center"/>
          </w:tcPr>
          <w:p>
            <w:r>
              <w:rPr>
                <w:sz w:val="16"/>
              </w:rPr>
              <w:t>-0.044 to 0.038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AUROC</w:t>
            </w:r>
          </w:p>
        </w:tc>
        <w:tc>
          <w:tcPr>
            <w:tcW w:type="dxa" w:w="1083"/>
            <w:vAlign w:val="center"/>
          </w:tcPr>
          <w:p>
            <w:r>
              <w:rPr>
                <w:sz w:val="16"/>
              </w:rPr>
              <w:t>0.522</w:t>
            </w:r>
          </w:p>
        </w:tc>
        <w:tc>
          <w:tcPr>
            <w:tcW w:type="dxa" w:w="1083"/>
            <w:vAlign w:val="center"/>
          </w:tcPr>
          <w:p>
            <w:r>
              <w:rPr>
                <w:sz w:val="16"/>
              </w:rPr>
              <w:t>0.537</w:t>
            </w:r>
          </w:p>
        </w:tc>
        <w:tc>
          <w:tcPr>
            <w:tcW w:type="dxa" w:w="1083"/>
            <w:vAlign w:val="center"/>
          </w:tcPr>
          <w:p>
            <w:r>
              <w:rPr>
                <w:sz w:val="16"/>
              </w:rPr>
              <w:t>0.015</w:t>
            </w:r>
          </w:p>
        </w:tc>
        <w:tc>
          <w:tcPr>
            <w:tcW w:type="dxa" w:w="1083"/>
            <w:vAlign w:val="center"/>
          </w:tcPr>
          <w:p>
            <w:r>
              <w:rPr>
                <w:sz w:val="16"/>
              </w:rPr>
              <w:t>-0.005 to 0.036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AUROC</w:t>
            </w:r>
          </w:p>
        </w:tc>
        <w:tc>
          <w:tcPr>
            <w:tcW w:type="dxa" w:w="1083"/>
            <w:vAlign w:val="center"/>
          </w:tcPr>
          <w:p>
            <w:r>
              <w:rPr>
                <w:sz w:val="16"/>
              </w:rPr>
              <w:t>0.492</w:t>
            </w:r>
          </w:p>
        </w:tc>
        <w:tc>
          <w:tcPr>
            <w:tcW w:type="dxa" w:w="1083"/>
            <w:vAlign w:val="center"/>
          </w:tcPr>
          <w:p>
            <w:r>
              <w:rPr>
                <w:sz w:val="16"/>
              </w:rPr>
              <w:t>0.547</w:t>
            </w:r>
          </w:p>
        </w:tc>
        <w:tc>
          <w:tcPr>
            <w:tcW w:type="dxa" w:w="1083"/>
            <w:vAlign w:val="center"/>
          </w:tcPr>
          <w:p>
            <w:r>
              <w:rPr>
                <w:sz w:val="16"/>
              </w:rPr>
              <w:t>0.056</w:t>
            </w:r>
          </w:p>
        </w:tc>
        <w:tc>
          <w:tcPr>
            <w:tcW w:type="dxa" w:w="1083"/>
            <w:vAlign w:val="center"/>
          </w:tcPr>
          <w:p>
            <w:r>
              <w:rPr>
                <w:sz w:val="16"/>
              </w:rPr>
              <w:t>0.004 to 0.108</w:t>
            </w:r>
          </w:p>
        </w:tc>
        <w:tc>
          <w:tcPr>
            <w:tcW w:type="dxa" w:w="1083"/>
            <w:vAlign w:val="center"/>
          </w:tcPr>
          <w:p>
            <w:r>
              <w:rPr>
                <w:sz w:val="16"/>
              </w:rPr>
              <w:t>ridge</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AUROC</w:t>
            </w:r>
          </w:p>
        </w:tc>
        <w:tc>
          <w:tcPr>
            <w:tcW w:type="dxa" w:w="1083"/>
            <w:vAlign w:val="center"/>
          </w:tcPr>
          <w:p>
            <w:r>
              <w:rPr>
                <w:sz w:val="16"/>
              </w:rPr>
              <w:t>0.489</w:t>
            </w:r>
          </w:p>
        </w:tc>
        <w:tc>
          <w:tcPr>
            <w:tcW w:type="dxa" w:w="1083"/>
            <w:vAlign w:val="center"/>
          </w:tcPr>
          <w:p>
            <w:r>
              <w:rPr>
                <w:sz w:val="16"/>
              </w:rPr>
              <w:t>0.497</w:t>
            </w:r>
          </w:p>
        </w:tc>
        <w:tc>
          <w:tcPr>
            <w:tcW w:type="dxa" w:w="1083"/>
            <w:vAlign w:val="center"/>
          </w:tcPr>
          <w:p>
            <w:r>
              <w:rPr>
                <w:sz w:val="16"/>
              </w:rPr>
              <w:t>0.008</w:t>
            </w:r>
          </w:p>
        </w:tc>
        <w:tc>
          <w:tcPr>
            <w:tcW w:type="dxa" w:w="1083"/>
            <w:vAlign w:val="center"/>
          </w:tcPr>
          <w:p>
            <w:r>
              <w:rPr>
                <w:sz w:val="16"/>
              </w:rPr>
              <w:t>-0.088 to 0.098</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AUROC</w:t>
            </w:r>
          </w:p>
        </w:tc>
        <w:tc>
          <w:tcPr>
            <w:tcW w:type="dxa" w:w="1083"/>
            <w:vAlign w:val="center"/>
          </w:tcPr>
          <w:p>
            <w:r>
              <w:rPr>
                <w:sz w:val="16"/>
              </w:rPr>
              <w:t>0.482</w:t>
            </w:r>
          </w:p>
        </w:tc>
        <w:tc>
          <w:tcPr>
            <w:tcW w:type="dxa" w:w="1083"/>
            <w:vAlign w:val="center"/>
          </w:tcPr>
          <w:p>
            <w:r>
              <w:rPr>
                <w:sz w:val="16"/>
              </w:rPr>
              <w:t>0.476</w:t>
            </w:r>
          </w:p>
        </w:tc>
        <w:tc>
          <w:tcPr>
            <w:tcW w:type="dxa" w:w="1083"/>
            <w:vAlign w:val="center"/>
          </w:tcPr>
          <w:p>
            <w:r>
              <w:rPr>
                <w:sz w:val="16"/>
              </w:rPr>
              <w:t>-0.006</w:t>
            </w:r>
          </w:p>
        </w:tc>
        <w:tc>
          <w:tcPr>
            <w:tcW w:type="dxa" w:w="1083"/>
            <w:vAlign w:val="center"/>
          </w:tcPr>
          <w:p>
            <w:r>
              <w:rPr>
                <w:sz w:val="16"/>
              </w:rPr>
              <w:t>-0.080 to 0.070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AUROC</w:t>
            </w:r>
          </w:p>
        </w:tc>
        <w:tc>
          <w:tcPr>
            <w:tcW w:type="dxa" w:w="1083"/>
            <w:vAlign w:val="center"/>
          </w:tcPr>
          <w:p>
            <w:r>
              <w:rPr>
                <w:sz w:val="16"/>
              </w:rPr>
              <w:t>0.459</w:t>
            </w:r>
          </w:p>
        </w:tc>
        <w:tc>
          <w:tcPr>
            <w:tcW w:type="dxa" w:w="1083"/>
            <w:vAlign w:val="center"/>
          </w:tcPr>
          <w:p>
            <w:r>
              <w:rPr>
                <w:sz w:val="16"/>
              </w:rPr>
              <w:t>0.477</w:t>
            </w:r>
          </w:p>
        </w:tc>
        <w:tc>
          <w:tcPr>
            <w:tcW w:type="dxa" w:w="1083"/>
            <w:vAlign w:val="center"/>
          </w:tcPr>
          <w:p>
            <w:r>
              <w:rPr>
                <w:sz w:val="16"/>
              </w:rPr>
              <w:t>0.017</w:t>
            </w:r>
          </w:p>
        </w:tc>
        <w:tc>
          <w:tcPr>
            <w:tcW w:type="dxa" w:w="1083"/>
            <w:vAlign w:val="center"/>
          </w:tcPr>
          <w:p>
            <w:r>
              <w:rPr>
                <w:sz w:val="16"/>
              </w:rPr>
              <w:t>-0.035 to 0.070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AUROC</w:t>
            </w:r>
          </w:p>
        </w:tc>
        <w:tc>
          <w:tcPr>
            <w:tcW w:type="dxa" w:w="1083"/>
            <w:vAlign w:val="center"/>
          </w:tcPr>
          <w:p>
            <w:r>
              <w:rPr>
                <w:sz w:val="16"/>
              </w:rPr>
              <w:t>0.430</w:t>
            </w:r>
          </w:p>
        </w:tc>
        <w:tc>
          <w:tcPr>
            <w:tcW w:type="dxa" w:w="1083"/>
            <w:vAlign w:val="center"/>
          </w:tcPr>
          <w:p>
            <w:r>
              <w:rPr>
                <w:sz w:val="16"/>
              </w:rPr>
              <w:t>0.424</w:t>
            </w:r>
          </w:p>
        </w:tc>
        <w:tc>
          <w:tcPr>
            <w:tcW w:type="dxa" w:w="1083"/>
            <w:vAlign w:val="center"/>
          </w:tcPr>
          <w:p>
            <w:r>
              <w:rPr>
                <w:sz w:val="16"/>
              </w:rPr>
              <w:t>-0.006</w:t>
            </w:r>
          </w:p>
        </w:tc>
        <w:tc>
          <w:tcPr>
            <w:tcW w:type="dxa" w:w="1083"/>
            <w:vAlign w:val="center"/>
          </w:tcPr>
          <w:p>
            <w:r>
              <w:rPr>
                <w:sz w:val="16"/>
              </w:rPr>
              <w:t>-0.052 to 0.037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Q²</w:t>
            </w:r>
          </w:p>
        </w:tc>
        <w:tc>
          <w:tcPr>
            <w:tcW w:type="dxa" w:w="1083"/>
            <w:vAlign w:val="center"/>
          </w:tcPr>
          <w:p>
            <w:r>
              <w:rPr>
                <w:sz w:val="16"/>
              </w:rPr>
              <w:t>0.345</w:t>
            </w:r>
          </w:p>
        </w:tc>
        <w:tc>
          <w:tcPr>
            <w:tcW w:type="dxa" w:w="1083"/>
            <w:vAlign w:val="center"/>
          </w:tcPr>
          <w:p>
            <w:r>
              <w:rPr>
                <w:sz w:val="16"/>
              </w:rPr>
              <w:t>0.368</w:t>
            </w:r>
          </w:p>
        </w:tc>
        <w:tc>
          <w:tcPr>
            <w:tcW w:type="dxa" w:w="1083"/>
            <w:vAlign w:val="center"/>
          </w:tcPr>
          <w:p>
            <w:r>
              <w:rPr>
                <w:sz w:val="16"/>
              </w:rPr>
              <w:t>0.023</w:t>
            </w:r>
          </w:p>
        </w:tc>
        <w:tc>
          <w:tcPr>
            <w:tcW w:type="dxa" w:w="1083"/>
            <w:vAlign w:val="center"/>
          </w:tcPr>
          <w:p>
            <w:r>
              <w:rPr>
                <w:sz w:val="16"/>
              </w:rPr>
              <w:t>0.003 to 0.046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Q²</w:t>
            </w:r>
          </w:p>
        </w:tc>
        <w:tc>
          <w:tcPr>
            <w:tcW w:type="dxa" w:w="1083"/>
            <w:vAlign w:val="center"/>
          </w:tcPr>
          <w:p>
            <w:r>
              <w:rPr>
                <w:sz w:val="16"/>
              </w:rPr>
              <w:t>0.222</w:t>
            </w:r>
          </w:p>
        </w:tc>
        <w:tc>
          <w:tcPr>
            <w:tcW w:type="dxa" w:w="1083"/>
            <w:vAlign w:val="center"/>
          </w:tcPr>
          <w:p>
            <w:r>
              <w:rPr>
                <w:sz w:val="16"/>
              </w:rPr>
              <w:t>0.270</w:t>
            </w:r>
          </w:p>
        </w:tc>
        <w:tc>
          <w:tcPr>
            <w:tcW w:type="dxa" w:w="1083"/>
            <w:vAlign w:val="center"/>
          </w:tcPr>
          <w:p>
            <w:r>
              <w:rPr>
                <w:sz w:val="16"/>
              </w:rPr>
              <w:t>0.048</w:t>
            </w:r>
          </w:p>
        </w:tc>
        <w:tc>
          <w:tcPr>
            <w:tcW w:type="dxa" w:w="1083"/>
            <w:vAlign w:val="center"/>
          </w:tcPr>
          <w:p>
            <w:r>
              <w:rPr>
                <w:sz w:val="16"/>
              </w:rPr>
              <w:t>0.027 to 0.071</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Q²</w:t>
            </w:r>
          </w:p>
        </w:tc>
        <w:tc>
          <w:tcPr>
            <w:tcW w:type="dxa" w:w="1083"/>
            <w:vAlign w:val="center"/>
          </w:tcPr>
          <w:p>
            <w:r>
              <w:rPr>
                <w:sz w:val="16"/>
              </w:rPr>
              <w:t>0.219</w:t>
            </w:r>
          </w:p>
        </w:tc>
        <w:tc>
          <w:tcPr>
            <w:tcW w:type="dxa" w:w="1083"/>
            <w:vAlign w:val="center"/>
          </w:tcPr>
          <w:p>
            <w:r>
              <w:rPr>
                <w:sz w:val="16"/>
              </w:rPr>
              <w:t>0.211</w:t>
            </w:r>
          </w:p>
        </w:tc>
        <w:tc>
          <w:tcPr>
            <w:tcW w:type="dxa" w:w="1083"/>
            <w:vAlign w:val="center"/>
          </w:tcPr>
          <w:p>
            <w:r>
              <w:rPr>
                <w:sz w:val="16"/>
              </w:rPr>
              <w:t>-0.008</w:t>
            </w:r>
          </w:p>
        </w:tc>
        <w:tc>
          <w:tcPr>
            <w:tcW w:type="dxa" w:w="1083"/>
            <w:vAlign w:val="center"/>
          </w:tcPr>
          <w:p>
            <w:r>
              <w:rPr>
                <w:sz w:val="16"/>
              </w:rPr>
              <w:t>-0.025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Q²</w:t>
            </w:r>
          </w:p>
        </w:tc>
        <w:tc>
          <w:tcPr>
            <w:tcW w:type="dxa" w:w="1083"/>
            <w:vAlign w:val="center"/>
          </w:tcPr>
          <w:p>
            <w:r>
              <w:rPr>
                <w:sz w:val="16"/>
              </w:rPr>
              <w:t>0.195</w:t>
            </w:r>
          </w:p>
        </w:tc>
        <w:tc>
          <w:tcPr>
            <w:tcW w:type="dxa" w:w="1083"/>
            <w:vAlign w:val="center"/>
          </w:tcPr>
          <w:p>
            <w:r>
              <w:rPr>
                <w:sz w:val="16"/>
              </w:rPr>
              <w:t>0.258</w:t>
            </w:r>
          </w:p>
        </w:tc>
        <w:tc>
          <w:tcPr>
            <w:tcW w:type="dxa" w:w="1083"/>
            <w:vAlign w:val="center"/>
          </w:tcPr>
          <w:p>
            <w:r>
              <w:rPr>
                <w:sz w:val="16"/>
              </w:rPr>
              <w:t>0.064</w:t>
            </w:r>
          </w:p>
        </w:tc>
        <w:tc>
          <w:tcPr>
            <w:tcW w:type="dxa" w:w="1083"/>
            <w:vAlign w:val="center"/>
          </w:tcPr>
          <w:p>
            <w:r>
              <w:rPr>
                <w:sz w:val="16"/>
              </w:rPr>
              <w:t>0.030 to 0.106</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Q²</w:t>
            </w:r>
          </w:p>
        </w:tc>
        <w:tc>
          <w:tcPr>
            <w:tcW w:type="dxa" w:w="1083"/>
            <w:vAlign w:val="center"/>
          </w:tcPr>
          <w:p>
            <w:r>
              <w:rPr>
                <w:sz w:val="16"/>
              </w:rPr>
              <w:t>0.175</w:t>
            </w:r>
          </w:p>
        </w:tc>
        <w:tc>
          <w:tcPr>
            <w:tcW w:type="dxa" w:w="1083"/>
            <w:vAlign w:val="center"/>
          </w:tcPr>
          <w:p>
            <w:r>
              <w:rPr>
                <w:sz w:val="16"/>
              </w:rPr>
              <w:t>0.208</w:t>
            </w:r>
          </w:p>
        </w:tc>
        <w:tc>
          <w:tcPr>
            <w:tcW w:type="dxa" w:w="1083"/>
            <w:vAlign w:val="center"/>
          </w:tcPr>
          <w:p>
            <w:r>
              <w:rPr>
                <w:sz w:val="16"/>
              </w:rPr>
              <w:t>0.033</w:t>
            </w:r>
          </w:p>
        </w:tc>
        <w:tc>
          <w:tcPr>
            <w:tcW w:type="dxa" w:w="1083"/>
            <w:vAlign w:val="center"/>
          </w:tcPr>
          <w:p>
            <w:r>
              <w:rPr>
                <w:sz w:val="16"/>
              </w:rPr>
              <w:t>0.007 to 0.061</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Q²</w:t>
            </w:r>
          </w:p>
        </w:tc>
        <w:tc>
          <w:tcPr>
            <w:tcW w:type="dxa" w:w="1083"/>
            <w:vAlign w:val="center"/>
          </w:tcPr>
          <w:p>
            <w:r>
              <w:rPr>
                <w:sz w:val="16"/>
              </w:rPr>
              <w:t>0.018</w:t>
            </w:r>
          </w:p>
        </w:tc>
        <w:tc>
          <w:tcPr>
            <w:tcW w:type="dxa" w:w="1083"/>
            <w:vAlign w:val="center"/>
          </w:tcPr>
          <w:p>
            <w:r>
              <w:rPr>
                <w:sz w:val="16"/>
              </w:rPr>
              <w:t>0.042</w:t>
            </w:r>
          </w:p>
        </w:tc>
        <w:tc>
          <w:tcPr>
            <w:tcW w:type="dxa" w:w="1083"/>
            <w:vAlign w:val="center"/>
          </w:tcPr>
          <w:p>
            <w:r>
              <w:rPr>
                <w:sz w:val="16"/>
              </w:rPr>
              <w:t>0.024</w:t>
            </w:r>
          </w:p>
        </w:tc>
        <w:tc>
          <w:tcPr>
            <w:tcW w:type="dxa" w:w="1083"/>
            <w:vAlign w:val="center"/>
          </w:tcPr>
          <w:p>
            <w:r>
              <w:rPr>
                <w:sz w:val="16"/>
              </w:rPr>
              <w:t>-0.014 to 0.068</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Q²</w:t>
            </w:r>
          </w:p>
        </w:tc>
        <w:tc>
          <w:tcPr>
            <w:tcW w:type="dxa" w:w="1083"/>
            <w:vAlign w:val="center"/>
          </w:tcPr>
          <w:p>
            <w:r>
              <w:rPr>
                <w:sz w:val="16"/>
              </w:rPr>
              <w:t>-0.042</w:t>
            </w:r>
          </w:p>
        </w:tc>
        <w:tc>
          <w:tcPr>
            <w:tcW w:type="dxa" w:w="1083"/>
            <w:vAlign w:val="center"/>
          </w:tcPr>
          <w:p>
            <w:r>
              <w:rPr>
                <w:sz w:val="16"/>
              </w:rPr>
              <w:t>-0.007</w:t>
            </w:r>
          </w:p>
        </w:tc>
        <w:tc>
          <w:tcPr>
            <w:tcW w:type="dxa" w:w="1083"/>
            <w:vAlign w:val="center"/>
          </w:tcPr>
          <w:p>
            <w:r>
              <w:rPr>
                <w:sz w:val="16"/>
              </w:rPr>
              <w:t>0.035</w:t>
            </w:r>
          </w:p>
        </w:tc>
        <w:tc>
          <w:tcPr>
            <w:tcW w:type="dxa" w:w="1083"/>
            <w:vAlign w:val="center"/>
          </w:tcPr>
          <w:p>
            <w:r>
              <w:rPr>
                <w:sz w:val="16"/>
              </w:rPr>
              <w:t>0.015 to 0.618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Q²</w:t>
            </w:r>
          </w:p>
        </w:tc>
        <w:tc>
          <w:tcPr>
            <w:tcW w:type="dxa" w:w="1083"/>
            <w:vAlign w:val="center"/>
          </w:tcPr>
          <w:p>
            <w:r>
              <w:rPr>
                <w:sz w:val="16"/>
              </w:rPr>
              <w:t>-0.070</w:t>
            </w:r>
          </w:p>
        </w:tc>
        <w:tc>
          <w:tcPr>
            <w:tcW w:type="dxa" w:w="1083"/>
            <w:vAlign w:val="center"/>
          </w:tcPr>
          <w:p>
            <w:r>
              <w:rPr>
                <w:sz w:val="16"/>
              </w:rPr>
              <w:t>-0.011</w:t>
            </w:r>
          </w:p>
        </w:tc>
        <w:tc>
          <w:tcPr>
            <w:tcW w:type="dxa" w:w="1083"/>
            <w:vAlign w:val="center"/>
          </w:tcPr>
          <w:p>
            <w:r>
              <w:rPr>
                <w:sz w:val="16"/>
              </w:rPr>
              <w:t>0.058</w:t>
            </w:r>
          </w:p>
        </w:tc>
        <w:tc>
          <w:tcPr>
            <w:tcW w:type="dxa" w:w="1083"/>
            <w:vAlign w:val="center"/>
          </w:tcPr>
          <w:p>
            <w:r>
              <w:rPr>
                <w:sz w:val="16"/>
              </w:rPr>
              <w:t>0.020 to 0.103</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Q²</w:t>
            </w:r>
          </w:p>
        </w:tc>
        <w:tc>
          <w:tcPr>
            <w:tcW w:type="dxa" w:w="1083"/>
            <w:vAlign w:val="center"/>
          </w:tcPr>
          <w:p>
            <w:r>
              <w:rPr>
                <w:sz w:val="16"/>
              </w:rPr>
              <w:t>-0.118</w:t>
            </w:r>
          </w:p>
        </w:tc>
        <w:tc>
          <w:tcPr>
            <w:tcW w:type="dxa" w:w="1083"/>
            <w:vAlign w:val="center"/>
          </w:tcPr>
          <w:p>
            <w:r>
              <w:rPr>
                <w:sz w:val="16"/>
              </w:rPr>
              <w:t>-0.030</w:t>
            </w:r>
          </w:p>
        </w:tc>
        <w:tc>
          <w:tcPr>
            <w:tcW w:type="dxa" w:w="1083"/>
            <w:vAlign w:val="center"/>
          </w:tcPr>
          <w:p>
            <w:r>
              <w:rPr>
                <w:sz w:val="16"/>
              </w:rPr>
              <w:t>0.088</w:t>
            </w:r>
          </w:p>
        </w:tc>
        <w:tc>
          <w:tcPr>
            <w:tcW w:type="dxa" w:w="1083"/>
            <w:vAlign w:val="center"/>
          </w:tcPr>
          <w:p>
            <w:r>
              <w:rPr>
                <w:sz w:val="16"/>
              </w:rPr>
              <w:t>0.013 to 0.177</w:t>
            </w:r>
          </w:p>
        </w:tc>
        <w:tc>
          <w:tcPr>
            <w:tcW w:type="dxa" w:w="1083"/>
            <w:vAlign w:val="center"/>
          </w:tcPr>
          <w:p>
            <w:r>
              <w:rPr>
                <w:sz w:val="16"/>
              </w:rPr>
              <w:t>ridge</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Q²</w:t>
            </w:r>
          </w:p>
        </w:tc>
        <w:tc>
          <w:tcPr>
            <w:tcW w:type="dxa" w:w="1083"/>
            <w:vAlign w:val="center"/>
          </w:tcPr>
          <w:p>
            <w:r>
              <w:rPr>
                <w:sz w:val="16"/>
              </w:rPr>
              <w:t>-0.343</w:t>
            </w:r>
          </w:p>
        </w:tc>
        <w:tc>
          <w:tcPr>
            <w:tcW w:type="dxa" w:w="1083"/>
            <w:vAlign w:val="center"/>
          </w:tcPr>
          <w:p>
            <w:r>
              <w:rPr>
                <w:sz w:val="16"/>
              </w:rPr>
              <w:t>-0.063</w:t>
            </w:r>
          </w:p>
        </w:tc>
        <w:tc>
          <w:tcPr>
            <w:tcW w:type="dxa" w:w="1083"/>
            <w:vAlign w:val="center"/>
          </w:tcPr>
          <w:p>
            <w:r>
              <w:rPr>
                <w:sz w:val="16"/>
              </w:rPr>
              <w:t>0.280</w:t>
            </w:r>
          </w:p>
        </w:tc>
        <w:tc>
          <w:tcPr>
            <w:tcW w:type="dxa" w:w="1083"/>
            <w:vAlign w:val="center"/>
          </w:tcPr>
          <w:p>
            <w:r>
              <w:rPr>
                <w:sz w:val="16"/>
              </w:rPr>
              <w:t>0.086 to 1.418</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Q²</w:t>
            </w:r>
          </w:p>
        </w:tc>
        <w:tc>
          <w:tcPr>
            <w:tcW w:type="dxa" w:w="1083"/>
            <w:vAlign w:val="center"/>
          </w:tcPr>
          <w:p>
            <w:r>
              <w:rPr>
                <w:sz w:val="16"/>
              </w:rPr>
              <w:t>-0.348</w:t>
            </w:r>
          </w:p>
        </w:tc>
        <w:tc>
          <w:tcPr>
            <w:tcW w:type="dxa" w:w="1083"/>
            <w:vAlign w:val="center"/>
          </w:tcPr>
          <w:p>
            <w:r>
              <w:rPr>
                <w:sz w:val="16"/>
              </w:rPr>
              <w:t>-0.059</w:t>
            </w:r>
          </w:p>
        </w:tc>
        <w:tc>
          <w:tcPr>
            <w:tcW w:type="dxa" w:w="1083"/>
            <w:vAlign w:val="center"/>
          </w:tcPr>
          <w:p>
            <w:r>
              <w:rPr>
                <w:sz w:val="16"/>
              </w:rPr>
              <w:t>0.289</w:t>
            </w:r>
          </w:p>
        </w:tc>
        <w:tc>
          <w:tcPr>
            <w:tcW w:type="dxa" w:w="1083"/>
            <w:vAlign w:val="center"/>
          </w:tcPr>
          <w:p>
            <w:r>
              <w:rPr>
                <w:sz w:val="16"/>
              </w:rPr>
              <w:t>0.123 to 0.480</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Q²</w:t>
            </w:r>
          </w:p>
        </w:tc>
        <w:tc>
          <w:tcPr>
            <w:tcW w:type="dxa" w:w="1083"/>
            <w:vAlign w:val="center"/>
          </w:tcPr>
          <w:p>
            <w:r>
              <w:rPr>
                <w:sz w:val="16"/>
              </w:rPr>
              <w:t>-0.394</w:t>
            </w:r>
          </w:p>
        </w:tc>
        <w:tc>
          <w:tcPr>
            <w:tcW w:type="dxa" w:w="1083"/>
            <w:vAlign w:val="center"/>
          </w:tcPr>
          <w:p>
            <w:r>
              <w:rPr>
                <w:sz w:val="16"/>
              </w:rPr>
              <w:t>-0.073</w:t>
            </w:r>
          </w:p>
        </w:tc>
        <w:tc>
          <w:tcPr>
            <w:tcW w:type="dxa" w:w="1083"/>
            <w:vAlign w:val="center"/>
          </w:tcPr>
          <w:p>
            <w:r>
              <w:rPr>
                <w:sz w:val="16"/>
              </w:rPr>
              <w:t>0.321</w:t>
            </w:r>
          </w:p>
        </w:tc>
        <w:tc>
          <w:tcPr>
            <w:tcW w:type="dxa" w:w="1083"/>
            <w:vAlign w:val="center"/>
          </w:tcPr>
          <w:p>
            <w:r>
              <w:rPr>
                <w:sz w:val="16"/>
              </w:rPr>
              <w:t>0.070 to 0.896</w:t>
            </w:r>
          </w:p>
        </w:tc>
        <w:tc>
          <w:tcPr>
            <w:tcW w:type="dxa" w:w="1083"/>
            <w:vAlign w:val="center"/>
          </w:tcPr>
          <w:p>
            <w:r>
              <w:rPr>
                <w:sz w:val="16"/>
              </w:rPr>
              <w:t>ridge</w:t>
            </w:r>
          </w:p>
        </w:tc>
      </w:tr>
    </w:tbl>
    <w:p/>
    <w:p>
      <w:pPr>
        <w:pStyle w:val="Caption"/>
      </w:pPr>
      <w:r>
        <w:t>Panel C. Target-level secondary metric; binary balanced accuracy uses operating thresholds selected identically for both methods.</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Type/family</w:t>
            </w:r>
          </w:p>
        </w:tc>
        <w:tc>
          <w:tcPr>
            <w:tcW w:type="dxa" w:w="1083"/>
          </w:tcPr>
          <w:p>
            <w:r>
              <w:rPr>
                <w:b/>
                <w:sz w:val="17"/>
              </w:rPr>
              <w:t>Size/imbalance</w:t>
            </w:r>
          </w:p>
        </w:tc>
        <w:tc>
          <w:tcPr>
            <w:tcW w:type="dxa" w:w="1083"/>
          </w:tcPr>
          <w:p>
            <w:r>
              <w:rPr>
                <w:b/>
                <w:sz w:val="17"/>
              </w:rPr>
              <w:t>Cancer–endpoint</w:t>
            </w:r>
          </w:p>
        </w:tc>
        <w:tc>
          <w:tcPr>
            <w:tcW w:type="dxa" w:w="1083"/>
          </w:tcPr>
          <w:p>
            <w:r>
              <w:rPr>
                <w:b/>
                <w:sz w:val="17"/>
              </w:rPr>
              <w:t>Metric</w:t>
            </w:r>
          </w:p>
        </w:tc>
        <w:tc>
          <w:tcPr>
            <w:tcW w:type="dxa" w:w="1083"/>
          </w:tcPr>
          <w:p>
            <w:r>
              <w:rPr>
                <w:b/>
                <w:sz w:val="17"/>
              </w:rPr>
              <w:t>PLS</w:t>
            </w:r>
          </w:p>
        </w:tc>
        <w:tc>
          <w:tcPr>
            <w:tcW w:type="dxa" w:w="1083"/>
          </w:tcPr>
          <w:p>
            <w:r>
              <w:rPr>
                <w:b/>
                <w:sz w:val="17"/>
              </w:rPr>
              <w:t>Ridge</w:t>
            </w:r>
          </w:p>
        </w:tc>
        <w:tc>
          <w:tcPr>
            <w:tcW w:type="dxa" w:w="1083"/>
          </w:tcPr>
          <w:p>
            <w:r>
              <w:rPr>
                <w:b/>
                <w:sz w:val="17"/>
              </w:rPr>
              <w:t>Δ Ridge−PLS</w:t>
            </w:r>
          </w:p>
        </w:tc>
        <w:tc>
          <w:tcPr>
            <w:tcW w:type="dxa" w:w="1083"/>
          </w:tcPr>
          <w:p>
            <w:r>
              <w:rPr>
                <w:b/>
                <w:sz w:val="17"/>
              </w:rPr>
              <w:t>95% paired patient interval</w:t>
            </w:r>
          </w:p>
        </w:tc>
        <w:tc>
          <w:tcPr>
            <w:tcW w:type="dxa" w:w="1083"/>
          </w:tcPr>
          <w:p>
            <w:r>
              <w:rPr>
                <w:b/>
                <w:sz w:val="17"/>
              </w:rPr>
              <w:t>Result</w:t>
            </w:r>
          </w:p>
        </w:tc>
      </w:tr>
      <w:tr>
        <w:trPr>
          <w:cantSplit/>
        </w:trPr>
        <w:tc>
          <w:tcPr>
            <w:tcW w:type="dxa" w:w="1083"/>
            <w:vAlign w:val="center"/>
          </w:tcPr>
          <w:p>
            <w:r>
              <w:rPr>
                <w:sz w:val="16"/>
              </w:rPr>
              <w:t>bin./MSI</w:t>
            </w:r>
          </w:p>
        </w:tc>
        <w:tc>
          <w:tcPr>
            <w:tcW w:type="dxa" w:w="1083"/>
            <w:vAlign w:val="center"/>
          </w:tcPr>
          <w:p>
            <w:r>
              <w:rPr>
                <w:sz w:val="16"/>
              </w:rPr>
              <w:t>medium/moderate</w:t>
            </w:r>
          </w:p>
        </w:tc>
        <w:tc>
          <w:tcPr>
            <w:tcW w:type="dxa" w:w="1083"/>
            <w:vAlign w:val="center"/>
          </w:tcPr>
          <w:p>
            <w:r>
              <w:rPr>
                <w:sz w:val="16"/>
              </w:rPr>
              <w:t>STAD–MSI-H strict (MANTIS &gt;0.6)</w:t>
            </w:r>
          </w:p>
        </w:tc>
        <w:tc>
          <w:tcPr>
            <w:tcW w:type="dxa" w:w="1083"/>
            <w:vAlign w:val="center"/>
          </w:tcPr>
          <w:p>
            <w:r>
              <w:rPr>
                <w:sz w:val="16"/>
              </w:rPr>
              <w:t>BA</w:t>
            </w:r>
          </w:p>
        </w:tc>
        <w:tc>
          <w:tcPr>
            <w:tcW w:type="dxa" w:w="1083"/>
            <w:vAlign w:val="center"/>
          </w:tcPr>
          <w:p>
            <w:r>
              <w:rPr>
                <w:sz w:val="16"/>
              </w:rPr>
              <w:t>0.820</w:t>
            </w:r>
          </w:p>
        </w:tc>
        <w:tc>
          <w:tcPr>
            <w:tcW w:type="dxa" w:w="1083"/>
            <w:vAlign w:val="center"/>
          </w:tcPr>
          <w:p>
            <w:r>
              <w:rPr>
                <w:sz w:val="16"/>
              </w:rPr>
              <w:t>0.809</w:t>
            </w:r>
          </w:p>
        </w:tc>
        <w:tc>
          <w:tcPr>
            <w:tcW w:type="dxa" w:w="1083"/>
            <w:vAlign w:val="center"/>
          </w:tcPr>
          <w:p>
            <w:r>
              <w:rPr>
                <w:sz w:val="16"/>
              </w:rPr>
              <w:t>-0.011</w:t>
            </w:r>
          </w:p>
        </w:tc>
        <w:tc>
          <w:tcPr>
            <w:tcW w:type="dxa" w:w="1083"/>
            <w:vAlign w:val="center"/>
          </w:tcPr>
          <w:p>
            <w:r>
              <w:rPr>
                <w:sz w:val="16"/>
              </w:rPr>
              <w:t>-0.042 to 0.020</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medium/moderate</w:t>
            </w:r>
          </w:p>
        </w:tc>
        <w:tc>
          <w:tcPr>
            <w:tcW w:type="dxa" w:w="1083"/>
            <w:vAlign w:val="center"/>
          </w:tcPr>
          <w:p>
            <w:r>
              <w:rPr>
                <w:sz w:val="16"/>
              </w:rPr>
              <w:t>COAD–MSI-H (MANTIS &gt;0.4)</w:t>
            </w:r>
          </w:p>
        </w:tc>
        <w:tc>
          <w:tcPr>
            <w:tcW w:type="dxa" w:w="1083"/>
            <w:vAlign w:val="center"/>
          </w:tcPr>
          <w:p>
            <w:r>
              <w:rPr>
                <w:sz w:val="16"/>
              </w:rPr>
              <w:t>BA</w:t>
            </w:r>
          </w:p>
        </w:tc>
        <w:tc>
          <w:tcPr>
            <w:tcW w:type="dxa" w:w="1083"/>
            <w:vAlign w:val="center"/>
          </w:tcPr>
          <w:p>
            <w:r>
              <w:rPr>
                <w:sz w:val="16"/>
              </w:rPr>
              <w:t>0.766</w:t>
            </w:r>
          </w:p>
        </w:tc>
        <w:tc>
          <w:tcPr>
            <w:tcW w:type="dxa" w:w="1083"/>
            <w:vAlign w:val="center"/>
          </w:tcPr>
          <w:p>
            <w:r>
              <w:rPr>
                <w:sz w:val="16"/>
              </w:rPr>
              <w:t>0.772</w:t>
            </w:r>
          </w:p>
        </w:tc>
        <w:tc>
          <w:tcPr>
            <w:tcW w:type="dxa" w:w="1083"/>
            <w:vAlign w:val="center"/>
          </w:tcPr>
          <w:p>
            <w:r>
              <w:rPr>
                <w:sz w:val="16"/>
              </w:rPr>
              <w:t>0.006</w:t>
            </w:r>
          </w:p>
        </w:tc>
        <w:tc>
          <w:tcPr>
            <w:tcW w:type="dxa" w:w="1083"/>
            <w:vAlign w:val="center"/>
          </w:tcPr>
          <w:p>
            <w:r>
              <w:rPr>
                <w:sz w:val="16"/>
              </w:rPr>
              <w:t>-0.017 to 0.031</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large/high</w:t>
            </w:r>
          </w:p>
        </w:tc>
        <w:tc>
          <w:tcPr>
            <w:tcW w:type="dxa" w:w="1083"/>
            <w:vAlign w:val="center"/>
          </w:tcPr>
          <w:p>
            <w:r>
              <w:rPr>
                <w:sz w:val="16"/>
              </w:rPr>
              <w:t>THCA–Fusion pair: CCDC6--RET</w:t>
            </w:r>
          </w:p>
        </w:tc>
        <w:tc>
          <w:tcPr>
            <w:tcW w:type="dxa" w:w="1083"/>
            <w:vAlign w:val="center"/>
          </w:tcPr>
          <w:p>
            <w:r>
              <w:rPr>
                <w:sz w:val="16"/>
              </w:rPr>
              <w:t>BA</w:t>
            </w:r>
          </w:p>
        </w:tc>
        <w:tc>
          <w:tcPr>
            <w:tcW w:type="dxa" w:w="1083"/>
            <w:vAlign w:val="center"/>
          </w:tcPr>
          <w:p>
            <w:r>
              <w:rPr>
                <w:sz w:val="16"/>
              </w:rPr>
              <w:t>0.716</w:t>
            </w:r>
          </w:p>
        </w:tc>
        <w:tc>
          <w:tcPr>
            <w:tcW w:type="dxa" w:w="1083"/>
            <w:vAlign w:val="center"/>
          </w:tcPr>
          <w:p>
            <w:r>
              <w:rPr>
                <w:sz w:val="16"/>
              </w:rPr>
              <w:t>0.793</w:t>
            </w:r>
          </w:p>
        </w:tc>
        <w:tc>
          <w:tcPr>
            <w:tcW w:type="dxa" w:w="1083"/>
            <w:vAlign w:val="center"/>
          </w:tcPr>
          <w:p>
            <w:r>
              <w:rPr>
                <w:sz w:val="16"/>
              </w:rPr>
              <w:t>0.077</w:t>
            </w:r>
          </w:p>
        </w:tc>
        <w:tc>
          <w:tcPr>
            <w:tcW w:type="dxa" w:w="1083"/>
            <w:vAlign w:val="center"/>
          </w:tcPr>
          <w:p>
            <w:r>
              <w:rPr>
                <w:sz w:val="16"/>
              </w:rPr>
              <w:t>0.028 to 0.129</w:t>
            </w:r>
          </w:p>
        </w:tc>
        <w:tc>
          <w:tcPr>
            <w:tcW w:type="dxa" w:w="1083"/>
            <w:vAlign w:val="center"/>
          </w:tcPr>
          <w:p>
            <w:r>
              <w:rPr>
                <w:sz w:val="16"/>
              </w:rPr>
              <w:t>ridge</w:t>
            </w:r>
          </w:p>
        </w:tc>
      </w:tr>
      <w:tr>
        <w:trPr>
          <w:cantSplit/>
        </w:trPr>
        <w:tc>
          <w:tcPr>
            <w:tcW w:type="dxa" w:w="1083"/>
            <w:vAlign w:val="center"/>
          </w:tcPr>
          <w:p>
            <w:r>
              <w:rPr>
                <w:sz w:val="16"/>
              </w:rPr>
              <w:t>bin./fusion</w:t>
            </w:r>
          </w:p>
        </w:tc>
        <w:tc>
          <w:tcPr>
            <w:tcW w:type="dxa" w:w="1083"/>
            <w:vAlign w:val="center"/>
          </w:tcPr>
          <w:p>
            <w:r>
              <w:rPr>
                <w:sz w:val="16"/>
              </w:rPr>
              <w:t>large/low</w:t>
            </w:r>
          </w:p>
        </w:tc>
        <w:tc>
          <w:tcPr>
            <w:tcW w:type="dxa" w:w="1083"/>
            <w:vAlign w:val="center"/>
          </w:tcPr>
          <w:p>
            <w:r>
              <w:rPr>
                <w:sz w:val="16"/>
              </w:rPr>
              <w:t>LGG–Any called fusion</w:t>
            </w:r>
          </w:p>
        </w:tc>
        <w:tc>
          <w:tcPr>
            <w:tcW w:type="dxa" w:w="1083"/>
            <w:vAlign w:val="center"/>
          </w:tcPr>
          <w:p>
            <w:r>
              <w:rPr>
                <w:sz w:val="16"/>
              </w:rPr>
              <w:t>BA</w:t>
            </w:r>
          </w:p>
        </w:tc>
        <w:tc>
          <w:tcPr>
            <w:tcW w:type="dxa" w:w="1083"/>
            <w:vAlign w:val="center"/>
          </w:tcPr>
          <w:p>
            <w:r>
              <w:rPr>
                <w:sz w:val="16"/>
              </w:rPr>
              <w:t>0.698</w:t>
            </w:r>
          </w:p>
        </w:tc>
        <w:tc>
          <w:tcPr>
            <w:tcW w:type="dxa" w:w="1083"/>
            <w:vAlign w:val="center"/>
          </w:tcPr>
          <w:p>
            <w:r>
              <w:rPr>
                <w:sz w:val="16"/>
              </w:rPr>
              <w:t>0.706</w:t>
            </w:r>
          </w:p>
        </w:tc>
        <w:tc>
          <w:tcPr>
            <w:tcW w:type="dxa" w:w="1083"/>
            <w:vAlign w:val="center"/>
          </w:tcPr>
          <w:p>
            <w:r>
              <w:rPr>
                <w:sz w:val="16"/>
              </w:rPr>
              <w:t>0.009</w:t>
            </w:r>
          </w:p>
        </w:tc>
        <w:tc>
          <w:tcPr>
            <w:tcW w:type="dxa" w:w="1083"/>
            <w:vAlign w:val="center"/>
          </w:tcPr>
          <w:p>
            <w:r>
              <w:rPr>
                <w:sz w:val="16"/>
              </w:rPr>
              <w:t>-0.003 to 0.021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medium/low</w:t>
            </w:r>
          </w:p>
        </w:tc>
        <w:tc>
          <w:tcPr>
            <w:tcW w:type="dxa" w:w="1083"/>
            <w:vAlign w:val="center"/>
          </w:tcPr>
          <w:p>
            <w:r>
              <w:rPr>
                <w:sz w:val="16"/>
              </w:rPr>
              <w:t>COAD–Genome doubling</w:t>
            </w:r>
          </w:p>
        </w:tc>
        <w:tc>
          <w:tcPr>
            <w:tcW w:type="dxa" w:w="1083"/>
            <w:vAlign w:val="center"/>
          </w:tcPr>
          <w:p>
            <w:r>
              <w:rPr>
                <w:sz w:val="16"/>
              </w:rPr>
              <w:t>BA</w:t>
            </w:r>
          </w:p>
        </w:tc>
        <w:tc>
          <w:tcPr>
            <w:tcW w:type="dxa" w:w="1083"/>
            <w:vAlign w:val="center"/>
          </w:tcPr>
          <w:p>
            <w:r>
              <w:rPr>
                <w:sz w:val="16"/>
              </w:rPr>
              <w:t>0.676</w:t>
            </w:r>
          </w:p>
        </w:tc>
        <w:tc>
          <w:tcPr>
            <w:tcW w:type="dxa" w:w="1083"/>
            <w:vAlign w:val="center"/>
          </w:tcPr>
          <w:p>
            <w:r>
              <w:rPr>
                <w:sz w:val="16"/>
              </w:rPr>
              <w:t>0.685</w:t>
            </w:r>
          </w:p>
        </w:tc>
        <w:tc>
          <w:tcPr>
            <w:tcW w:type="dxa" w:w="1083"/>
            <w:vAlign w:val="center"/>
          </w:tcPr>
          <w:p>
            <w:r>
              <w:rPr>
                <w:sz w:val="16"/>
              </w:rPr>
              <w:t>0.010</w:t>
            </w:r>
          </w:p>
        </w:tc>
        <w:tc>
          <w:tcPr>
            <w:tcW w:type="dxa" w:w="1083"/>
            <w:vAlign w:val="center"/>
          </w:tcPr>
          <w:p>
            <w:r>
              <w:rPr>
                <w:sz w:val="16"/>
              </w:rPr>
              <w:t>-0.015 to 0.035</w:t>
            </w:r>
          </w:p>
        </w:tc>
        <w:tc>
          <w:tcPr>
            <w:tcW w:type="dxa" w:w="1083"/>
            <w:vAlign w:val="center"/>
          </w:tcPr>
          <w:p>
            <w:r>
              <w:rPr>
                <w:sz w:val="16"/>
              </w:rPr>
              <w:t>uncertain</w:t>
            </w:r>
          </w:p>
        </w:tc>
      </w:tr>
      <w:tr>
        <w:trPr>
          <w:cantSplit/>
        </w:trPr>
        <w:tc>
          <w:tcPr>
            <w:tcW w:type="dxa" w:w="1083"/>
            <w:vAlign w:val="center"/>
          </w:tcPr>
          <w:p>
            <w:r>
              <w:rPr>
                <w:sz w:val="16"/>
              </w:rPr>
              <w:t>bin./microsatellite_instability</w:t>
            </w:r>
          </w:p>
        </w:tc>
        <w:tc>
          <w:tcPr>
            <w:tcW w:type="dxa" w:w="1083"/>
            <w:vAlign w:val="center"/>
          </w:tcPr>
          <w:p>
            <w:r>
              <w:rPr>
                <w:sz w:val="16"/>
              </w:rPr>
              <w:t>large/low</w:t>
            </w:r>
          </w:p>
        </w:tc>
        <w:tc>
          <w:tcPr>
            <w:tcW w:type="dxa" w:w="1083"/>
            <w:vAlign w:val="center"/>
          </w:tcPr>
          <w:p>
            <w:r>
              <w:rPr>
                <w:sz w:val="16"/>
              </w:rPr>
              <w:t>UCEC–MSI-H (MANTIS &gt;0.4)</w:t>
            </w:r>
          </w:p>
        </w:tc>
        <w:tc>
          <w:tcPr>
            <w:tcW w:type="dxa" w:w="1083"/>
            <w:vAlign w:val="center"/>
          </w:tcPr>
          <w:p>
            <w:r>
              <w:rPr>
                <w:sz w:val="16"/>
              </w:rPr>
              <w:t>BA</w:t>
            </w:r>
          </w:p>
        </w:tc>
        <w:tc>
          <w:tcPr>
            <w:tcW w:type="dxa" w:w="1083"/>
            <w:vAlign w:val="center"/>
          </w:tcPr>
          <w:p>
            <w:r>
              <w:rPr>
                <w:sz w:val="16"/>
              </w:rPr>
              <w:t>0.673</w:t>
            </w:r>
          </w:p>
        </w:tc>
        <w:tc>
          <w:tcPr>
            <w:tcW w:type="dxa" w:w="1083"/>
            <w:vAlign w:val="center"/>
          </w:tcPr>
          <w:p>
            <w:r>
              <w:rPr>
                <w:sz w:val="16"/>
              </w:rPr>
              <w:t>0.682</w:t>
            </w:r>
          </w:p>
        </w:tc>
        <w:tc>
          <w:tcPr>
            <w:tcW w:type="dxa" w:w="1083"/>
            <w:vAlign w:val="center"/>
          </w:tcPr>
          <w:p>
            <w:r>
              <w:rPr>
                <w:sz w:val="16"/>
              </w:rPr>
              <w:t>0.009</w:t>
            </w:r>
          </w:p>
        </w:tc>
        <w:tc>
          <w:tcPr>
            <w:tcW w:type="dxa" w:w="1083"/>
            <w:vAlign w:val="center"/>
          </w:tcPr>
          <w:p>
            <w:r>
              <w:rPr>
                <w:sz w:val="16"/>
              </w:rPr>
              <w:t>-0.014 to 0.030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medium/low</w:t>
            </w:r>
          </w:p>
        </w:tc>
        <w:tc>
          <w:tcPr>
            <w:tcW w:type="dxa" w:w="1083"/>
            <w:vAlign w:val="center"/>
          </w:tcPr>
          <w:p>
            <w:r>
              <w:rPr>
                <w:sz w:val="16"/>
              </w:rPr>
              <w:t>BLCA–TP53</w:t>
            </w:r>
          </w:p>
        </w:tc>
        <w:tc>
          <w:tcPr>
            <w:tcW w:type="dxa" w:w="1083"/>
            <w:vAlign w:val="center"/>
          </w:tcPr>
          <w:p>
            <w:r>
              <w:rPr>
                <w:sz w:val="16"/>
              </w:rPr>
              <w:t>BA</w:t>
            </w:r>
          </w:p>
        </w:tc>
        <w:tc>
          <w:tcPr>
            <w:tcW w:type="dxa" w:w="1083"/>
            <w:vAlign w:val="center"/>
          </w:tcPr>
          <w:p>
            <w:r>
              <w:rPr>
                <w:sz w:val="16"/>
              </w:rPr>
              <w:t>0.669</w:t>
            </w:r>
          </w:p>
        </w:tc>
        <w:tc>
          <w:tcPr>
            <w:tcW w:type="dxa" w:w="1083"/>
            <w:vAlign w:val="center"/>
          </w:tcPr>
          <w:p>
            <w:r>
              <w:rPr>
                <w:sz w:val="16"/>
              </w:rPr>
              <w:t>0.677</w:t>
            </w:r>
          </w:p>
        </w:tc>
        <w:tc>
          <w:tcPr>
            <w:tcW w:type="dxa" w:w="1083"/>
            <w:vAlign w:val="center"/>
          </w:tcPr>
          <w:p>
            <w:r>
              <w:rPr>
                <w:sz w:val="16"/>
              </w:rPr>
              <w:t>0.008</w:t>
            </w:r>
          </w:p>
        </w:tc>
        <w:tc>
          <w:tcPr>
            <w:tcW w:type="dxa" w:w="1083"/>
            <w:vAlign w:val="center"/>
          </w:tcPr>
          <w:p>
            <w:r>
              <w:rPr>
                <w:sz w:val="16"/>
              </w:rPr>
              <w:t>-0.008 to 0.024</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large/moderate</w:t>
            </w:r>
          </w:p>
        </w:tc>
        <w:tc>
          <w:tcPr>
            <w:tcW w:type="dxa" w:w="1083"/>
            <w:vAlign w:val="center"/>
          </w:tcPr>
          <w:p>
            <w:r>
              <w:rPr>
                <w:sz w:val="16"/>
              </w:rPr>
              <w:t>UCEC–CTCF</w:t>
            </w:r>
          </w:p>
        </w:tc>
        <w:tc>
          <w:tcPr>
            <w:tcW w:type="dxa" w:w="1083"/>
            <w:vAlign w:val="center"/>
          </w:tcPr>
          <w:p>
            <w:r>
              <w:rPr>
                <w:sz w:val="16"/>
              </w:rPr>
              <w:t>BA</w:t>
            </w:r>
          </w:p>
        </w:tc>
        <w:tc>
          <w:tcPr>
            <w:tcW w:type="dxa" w:w="1083"/>
            <w:vAlign w:val="center"/>
          </w:tcPr>
          <w:p>
            <w:r>
              <w:rPr>
                <w:sz w:val="16"/>
              </w:rPr>
              <w:t>0.640</w:t>
            </w:r>
          </w:p>
        </w:tc>
        <w:tc>
          <w:tcPr>
            <w:tcW w:type="dxa" w:w="1083"/>
            <w:vAlign w:val="center"/>
          </w:tcPr>
          <w:p>
            <w:r>
              <w:rPr>
                <w:sz w:val="16"/>
              </w:rPr>
              <w:t>0.633</w:t>
            </w:r>
          </w:p>
        </w:tc>
        <w:tc>
          <w:tcPr>
            <w:tcW w:type="dxa" w:w="1083"/>
            <w:vAlign w:val="center"/>
          </w:tcPr>
          <w:p>
            <w:r>
              <w:rPr>
                <w:sz w:val="16"/>
              </w:rPr>
              <w:t>-0.007</w:t>
            </w:r>
          </w:p>
        </w:tc>
        <w:tc>
          <w:tcPr>
            <w:tcW w:type="dxa" w:w="1083"/>
            <w:vAlign w:val="center"/>
          </w:tcPr>
          <w:p>
            <w:r>
              <w:rPr>
                <w:sz w:val="16"/>
              </w:rPr>
              <w:t>-0.034 to 0.020</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small/low</w:t>
            </w:r>
          </w:p>
        </w:tc>
        <w:tc>
          <w:tcPr>
            <w:tcW w:type="dxa" w:w="1083"/>
            <w:vAlign w:val="center"/>
          </w:tcPr>
          <w:p>
            <w:r>
              <w:rPr>
                <w:sz w:val="16"/>
              </w:rPr>
              <w:t>OV–TP53</w:t>
            </w:r>
          </w:p>
        </w:tc>
        <w:tc>
          <w:tcPr>
            <w:tcW w:type="dxa" w:w="1083"/>
            <w:vAlign w:val="center"/>
          </w:tcPr>
          <w:p>
            <w:r>
              <w:rPr>
                <w:sz w:val="16"/>
              </w:rPr>
              <w:t>BA</w:t>
            </w:r>
          </w:p>
        </w:tc>
        <w:tc>
          <w:tcPr>
            <w:tcW w:type="dxa" w:w="1083"/>
            <w:vAlign w:val="center"/>
          </w:tcPr>
          <w:p>
            <w:r>
              <w:rPr>
                <w:sz w:val="16"/>
              </w:rPr>
              <w:t>0.621</w:t>
            </w:r>
          </w:p>
        </w:tc>
        <w:tc>
          <w:tcPr>
            <w:tcW w:type="dxa" w:w="1083"/>
            <w:vAlign w:val="center"/>
          </w:tcPr>
          <w:p>
            <w:r>
              <w:rPr>
                <w:sz w:val="16"/>
              </w:rPr>
              <w:t>0.631</w:t>
            </w:r>
          </w:p>
        </w:tc>
        <w:tc>
          <w:tcPr>
            <w:tcW w:type="dxa" w:w="1083"/>
            <w:vAlign w:val="center"/>
          </w:tcPr>
          <w:p>
            <w:r>
              <w:rPr>
                <w:sz w:val="16"/>
              </w:rPr>
              <w:t>0.009</w:t>
            </w:r>
          </w:p>
        </w:tc>
        <w:tc>
          <w:tcPr>
            <w:tcW w:type="dxa" w:w="1083"/>
            <w:vAlign w:val="center"/>
          </w:tcPr>
          <w:p>
            <w:r>
              <w:rPr>
                <w:sz w:val="16"/>
              </w:rPr>
              <w:t>-0.026 to 0.044</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large/moderate</w:t>
            </w:r>
          </w:p>
        </w:tc>
        <w:tc>
          <w:tcPr>
            <w:tcW w:type="dxa" w:w="1083"/>
            <w:vAlign w:val="center"/>
          </w:tcPr>
          <w:p>
            <w:r>
              <w:rPr>
                <w:sz w:val="16"/>
              </w:rPr>
              <w:t>KIRC–Genome doubling</w:t>
            </w:r>
          </w:p>
        </w:tc>
        <w:tc>
          <w:tcPr>
            <w:tcW w:type="dxa" w:w="1083"/>
            <w:vAlign w:val="center"/>
          </w:tcPr>
          <w:p>
            <w:r>
              <w:rPr>
                <w:sz w:val="16"/>
              </w:rPr>
              <w:t>BA</w:t>
            </w:r>
          </w:p>
        </w:tc>
        <w:tc>
          <w:tcPr>
            <w:tcW w:type="dxa" w:w="1083"/>
            <w:vAlign w:val="center"/>
          </w:tcPr>
          <w:p>
            <w:r>
              <w:rPr>
                <w:sz w:val="16"/>
              </w:rPr>
              <w:t>0.636</w:t>
            </w:r>
          </w:p>
        </w:tc>
        <w:tc>
          <w:tcPr>
            <w:tcW w:type="dxa" w:w="1083"/>
            <w:vAlign w:val="center"/>
          </w:tcPr>
          <w:p>
            <w:r>
              <w:rPr>
                <w:sz w:val="16"/>
              </w:rPr>
              <w:t>0.671</w:t>
            </w:r>
          </w:p>
        </w:tc>
        <w:tc>
          <w:tcPr>
            <w:tcW w:type="dxa" w:w="1083"/>
            <w:vAlign w:val="center"/>
          </w:tcPr>
          <w:p>
            <w:r>
              <w:rPr>
                <w:sz w:val="16"/>
              </w:rPr>
              <w:t>0.035</w:t>
            </w:r>
          </w:p>
        </w:tc>
        <w:tc>
          <w:tcPr>
            <w:tcW w:type="dxa" w:w="1083"/>
            <w:vAlign w:val="center"/>
          </w:tcPr>
          <w:p>
            <w:r>
              <w:rPr>
                <w:sz w:val="16"/>
              </w:rPr>
              <w:t>0.015 to 0.056</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medium/high</w:t>
            </w:r>
          </w:p>
        </w:tc>
        <w:tc>
          <w:tcPr>
            <w:tcW w:type="dxa" w:w="1083"/>
            <w:vAlign w:val="center"/>
          </w:tcPr>
          <w:p>
            <w:r>
              <w:rPr>
                <w:sz w:val="16"/>
              </w:rPr>
              <w:t>PRAD–Genome doubling</w:t>
            </w:r>
          </w:p>
        </w:tc>
        <w:tc>
          <w:tcPr>
            <w:tcW w:type="dxa" w:w="1083"/>
            <w:vAlign w:val="center"/>
          </w:tcPr>
          <w:p>
            <w:r>
              <w:rPr>
                <w:sz w:val="16"/>
              </w:rPr>
              <w:t>BA</w:t>
            </w:r>
          </w:p>
        </w:tc>
        <w:tc>
          <w:tcPr>
            <w:tcW w:type="dxa" w:w="1083"/>
            <w:vAlign w:val="center"/>
          </w:tcPr>
          <w:p>
            <w:r>
              <w:rPr>
                <w:sz w:val="16"/>
              </w:rPr>
              <w:t>0.643</w:t>
            </w:r>
          </w:p>
        </w:tc>
        <w:tc>
          <w:tcPr>
            <w:tcW w:type="dxa" w:w="1083"/>
            <w:vAlign w:val="center"/>
          </w:tcPr>
          <w:p>
            <w:r>
              <w:rPr>
                <w:sz w:val="16"/>
              </w:rPr>
              <w:t>0.655</w:t>
            </w:r>
          </w:p>
        </w:tc>
        <w:tc>
          <w:tcPr>
            <w:tcW w:type="dxa" w:w="1083"/>
            <w:vAlign w:val="center"/>
          </w:tcPr>
          <w:p>
            <w:r>
              <w:rPr>
                <w:sz w:val="16"/>
              </w:rPr>
              <w:t>0.012</w:t>
            </w:r>
          </w:p>
        </w:tc>
        <w:tc>
          <w:tcPr>
            <w:tcW w:type="dxa" w:w="1083"/>
            <w:vAlign w:val="center"/>
          </w:tcPr>
          <w:p>
            <w:r>
              <w:rPr>
                <w:sz w:val="16"/>
              </w:rPr>
              <w:t>-0.022 to 0.050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large/low</w:t>
            </w:r>
          </w:p>
        </w:tc>
        <w:tc>
          <w:tcPr>
            <w:tcW w:type="dxa" w:w="1083"/>
            <w:vAlign w:val="center"/>
          </w:tcPr>
          <w:p>
            <w:r>
              <w:rPr>
                <w:sz w:val="16"/>
              </w:rPr>
              <w:t>UCEC–HIPPO</w:t>
            </w:r>
          </w:p>
        </w:tc>
        <w:tc>
          <w:tcPr>
            <w:tcW w:type="dxa" w:w="1083"/>
            <w:vAlign w:val="center"/>
          </w:tcPr>
          <w:p>
            <w:r>
              <w:rPr>
                <w:sz w:val="16"/>
              </w:rPr>
              <w:t>BA</w:t>
            </w:r>
          </w:p>
        </w:tc>
        <w:tc>
          <w:tcPr>
            <w:tcW w:type="dxa" w:w="1083"/>
            <w:vAlign w:val="center"/>
          </w:tcPr>
          <w:p>
            <w:r>
              <w:rPr>
                <w:sz w:val="16"/>
              </w:rPr>
              <w:t>0.612</w:t>
            </w:r>
          </w:p>
        </w:tc>
        <w:tc>
          <w:tcPr>
            <w:tcW w:type="dxa" w:w="1083"/>
            <w:vAlign w:val="center"/>
          </w:tcPr>
          <w:p>
            <w:r>
              <w:rPr>
                <w:sz w:val="16"/>
              </w:rPr>
              <w:t>0.619</w:t>
            </w:r>
          </w:p>
        </w:tc>
        <w:tc>
          <w:tcPr>
            <w:tcW w:type="dxa" w:w="1083"/>
            <w:vAlign w:val="center"/>
          </w:tcPr>
          <w:p>
            <w:r>
              <w:rPr>
                <w:sz w:val="16"/>
              </w:rPr>
              <w:t>0.007</w:t>
            </w:r>
          </w:p>
        </w:tc>
        <w:tc>
          <w:tcPr>
            <w:tcW w:type="dxa" w:w="1083"/>
            <w:vAlign w:val="center"/>
          </w:tcPr>
          <w:p>
            <w:r>
              <w:rPr>
                <w:sz w:val="16"/>
              </w:rPr>
              <w:t>-0.014 to 0.028</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medium/moderate</w:t>
            </w:r>
          </w:p>
        </w:tc>
        <w:tc>
          <w:tcPr>
            <w:tcW w:type="dxa" w:w="1083"/>
            <w:vAlign w:val="center"/>
          </w:tcPr>
          <w:p>
            <w:r>
              <w:rPr>
                <w:sz w:val="16"/>
              </w:rPr>
              <w:t>STAD–DMD</w:t>
            </w:r>
          </w:p>
        </w:tc>
        <w:tc>
          <w:tcPr>
            <w:tcW w:type="dxa" w:w="1083"/>
            <w:vAlign w:val="center"/>
          </w:tcPr>
          <w:p>
            <w:r>
              <w:rPr>
                <w:sz w:val="16"/>
              </w:rPr>
              <w:t>BA</w:t>
            </w:r>
          </w:p>
        </w:tc>
        <w:tc>
          <w:tcPr>
            <w:tcW w:type="dxa" w:w="1083"/>
            <w:vAlign w:val="center"/>
          </w:tcPr>
          <w:p>
            <w:r>
              <w:rPr>
                <w:sz w:val="16"/>
              </w:rPr>
              <w:t>0.625</w:t>
            </w:r>
          </w:p>
        </w:tc>
        <w:tc>
          <w:tcPr>
            <w:tcW w:type="dxa" w:w="1083"/>
            <w:vAlign w:val="center"/>
          </w:tcPr>
          <w:p>
            <w:r>
              <w:rPr>
                <w:sz w:val="16"/>
              </w:rPr>
              <w:t>0.612</w:t>
            </w:r>
          </w:p>
        </w:tc>
        <w:tc>
          <w:tcPr>
            <w:tcW w:type="dxa" w:w="1083"/>
            <w:vAlign w:val="center"/>
          </w:tcPr>
          <w:p>
            <w:r>
              <w:rPr>
                <w:sz w:val="16"/>
              </w:rPr>
              <w:t>-0.014</w:t>
            </w:r>
          </w:p>
        </w:tc>
        <w:tc>
          <w:tcPr>
            <w:tcW w:type="dxa" w:w="1083"/>
            <w:vAlign w:val="center"/>
          </w:tcPr>
          <w:p>
            <w:r>
              <w:rPr>
                <w:sz w:val="16"/>
              </w:rPr>
              <w:t>-0.051 to 0.024</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medium/moderate</w:t>
            </w:r>
          </w:p>
        </w:tc>
        <w:tc>
          <w:tcPr>
            <w:tcW w:type="dxa" w:w="1083"/>
            <w:vAlign w:val="center"/>
          </w:tcPr>
          <w:p>
            <w:r>
              <w:rPr>
                <w:sz w:val="16"/>
              </w:rPr>
              <w:t>PRAD–TP53</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0.621</w:t>
            </w:r>
          </w:p>
        </w:tc>
        <w:tc>
          <w:tcPr>
            <w:tcW w:type="dxa" w:w="1083"/>
            <w:vAlign w:val="center"/>
          </w:tcPr>
          <w:p>
            <w:r>
              <w:rPr>
                <w:sz w:val="16"/>
              </w:rPr>
              <w:t>0.016</w:t>
            </w:r>
          </w:p>
        </w:tc>
        <w:tc>
          <w:tcPr>
            <w:tcW w:type="dxa" w:w="1083"/>
            <w:vAlign w:val="center"/>
          </w:tcPr>
          <w:p>
            <w:r>
              <w:rPr>
                <w:sz w:val="16"/>
              </w:rPr>
              <w:t>-0.008 to 0.039</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medium/moderate</w:t>
            </w:r>
          </w:p>
        </w:tc>
        <w:tc>
          <w:tcPr>
            <w:tcW w:type="dxa" w:w="1083"/>
            <w:vAlign w:val="center"/>
          </w:tcPr>
          <w:p>
            <w:r>
              <w:rPr>
                <w:sz w:val="16"/>
              </w:rPr>
              <w:t>BLCA–Any called fusion</w:t>
            </w:r>
          </w:p>
        </w:tc>
        <w:tc>
          <w:tcPr>
            <w:tcW w:type="dxa" w:w="1083"/>
            <w:vAlign w:val="center"/>
          </w:tcPr>
          <w:p>
            <w:r>
              <w:rPr>
                <w:sz w:val="16"/>
              </w:rPr>
              <w:t>BA</w:t>
            </w:r>
          </w:p>
        </w:tc>
        <w:tc>
          <w:tcPr>
            <w:tcW w:type="dxa" w:w="1083"/>
            <w:vAlign w:val="center"/>
          </w:tcPr>
          <w:p>
            <w:r>
              <w:rPr>
                <w:sz w:val="16"/>
              </w:rPr>
              <w:t>0.605</w:t>
            </w:r>
          </w:p>
        </w:tc>
        <w:tc>
          <w:tcPr>
            <w:tcW w:type="dxa" w:w="1083"/>
            <w:vAlign w:val="center"/>
          </w:tcPr>
          <w:p>
            <w:r>
              <w:rPr>
                <w:sz w:val="16"/>
              </w:rPr>
              <w:t>0.642</w:t>
            </w:r>
          </w:p>
        </w:tc>
        <w:tc>
          <w:tcPr>
            <w:tcW w:type="dxa" w:w="1083"/>
            <w:vAlign w:val="center"/>
          </w:tcPr>
          <w:p>
            <w:r>
              <w:rPr>
                <w:sz w:val="16"/>
              </w:rPr>
              <w:t>0.038</w:t>
            </w:r>
          </w:p>
        </w:tc>
        <w:tc>
          <w:tcPr>
            <w:tcW w:type="dxa" w:w="1083"/>
            <w:vAlign w:val="center"/>
          </w:tcPr>
          <w:p>
            <w:r>
              <w:rPr>
                <w:sz w:val="16"/>
              </w:rPr>
              <w:t>0.013 to 0.061</w:t>
            </w:r>
          </w:p>
        </w:tc>
        <w:tc>
          <w:tcPr>
            <w:tcW w:type="dxa" w:w="1083"/>
            <w:vAlign w:val="center"/>
          </w:tcPr>
          <w:p>
            <w:r>
              <w:rPr>
                <w:sz w:val="16"/>
              </w:rPr>
              <w:t>ridge</w:t>
            </w:r>
          </w:p>
        </w:tc>
      </w:tr>
      <w:tr>
        <w:trPr>
          <w:cantSplit/>
        </w:trPr>
        <w:tc>
          <w:tcPr>
            <w:tcW w:type="dxa" w:w="1083"/>
            <w:vAlign w:val="center"/>
          </w:tcPr>
          <w:p>
            <w:r>
              <w:rPr>
                <w:sz w:val="16"/>
              </w:rPr>
              <w:t>bin./aneuploidy</w:t>
            </w:r>
          </w:p>
        </w:tc>
        <w:tc>
          <w:tcPr>
            <w:tcW w:type="dxa" w:w="1083"/>
            <w:vAlign w:val="center"/>
          </w:tcPr>
          <w:p>
            <w:r>
              <w:rPr>
                <w:sz w:val="16"/>
              </w:rPr>
              <w:t>medium/moderate</w:t>
            </w:r>
          </w:p>
        </w:tc>
        <w:tc>
          <w:tcPr>
            <w:tcW w:type="dxa" w:w="1083"/>
            <w:vAlign w:val="center"/>
          </w:tcPr>
          <w:p>
            <w:r>
              <w:rPr>
                <w:sz w:val="16"/>
              </w:rPr>
              <w:t>GBM–Genome doubling</w:t>
            </w:r>
          </w:p>
        </w:tc>
        <w:tc>
          <w:tcPr>
            <w:tcW w:type="dxa" w:w="1083"/>
            <w:vAlign w:val="center"/>
          </w:tcPr>
          <w:p>
            <w:r>
              <w:rPr>
                <w:sz w:val="16"/>
              </w:rPr>
              <w:t>BA</w:t>
            </w:r>
          </w:p>
        </w:tc>
        <w:tc>
          <w:tcPr>
            <w:tcW w:type="dxa" w:w="1083"/>
            <w:vAlign w:val="center"/>
          </w:tcPr>
          <w:p>
            <w:r>
              <w:rPr>
                <w:sz w:val="16"/>
              </w:rPr>
              <w:t>0.590</w:t>
            </w:r>
          </w:p>
        </w:tc>
        <w:tc>
          <w:tcPr>
            <w:tcW w:type="dxa" w:w="1083"/>
            <w:vAlign w:val="center"/>
          </w:tcPr>
          <w:p>
            <w:r>
              <w:rPr>
                <w:sz w:val="16"/>
              </w:rPr>
              <w:t>0.617</w:t>
            </w:r>
          </w:p>
        </w:tc>
        <w:tc>
          <w:tcPr>
            <w:tcW w:type="dxa" w:w="1083"/>
            <w:vAlign w:val="center"/>
          </w:tcPr>
          <w:p>
            <w:r>
              <w:rPr>
                <w:sz w:val="16"/>
              </w:rPr>
              <w:t>0.027</w:t>
            </w:r>
          </w:p>
        </w:tc>
        <w:tc>
          <w:tcPr>
            <w:tcW w:type="dxa" w:w="1083"/>
            <w:vAlign w:val="center"/>
          </w:tcPr>
          <w:p>
            <w:r>
              <w:rPr>
                <w:sz w:val="16"/>
              </w:rPr>
              <w:t>-0.006 to 0.061</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small/moderate</w:t>
            </w:r>
          </w:p>
        </w:tc>
        <w:tc>
          <w:tcPr>
            <w:tcW w:type="dxa" w:w="1083"/>
            <w:vAlign w:val="center"/>
          </w:tcPr>
          <w:p>
            <w:r>
              <w:rPr>
                <w:sz w:val="16"/>
              </w:rPr>
              <w:t>PAAD–Genome doubling</w:t>
            </w:r>
          </w:p>
        </w:tc>
        <w:tc>
          <w:tcPr>
            <w:tcW w:type="dxa" w:w="1083"/>
            <w:vAlign w:val="center"/>
          </w:tcPr>
          <w:p>
            <w:r>
              <w:rPr>
                <w:sz w:val="16"/>
              </w:rPr>
              <w:t>BA</w:t>
            </w:r>
          </w:p>
        </w:tc>
        <w:tc>
          <w:tcPr>
            <w:tcW w:type="dxa" w:w="1083"/>
            <w:vAlign w:val="center"/>
          </w:tcPr>
          <w:p>
            <w:r>
              <w:rPr>
                <w:sz w:val="16"/>
              </w:rPr>
              <w:t>0.578</w:t>
            </w:r>
          </w:p>
        </w:tc>
        <w:tc>
          <w:tcPr>
            <w:tcW w:type="dxa" w:w="1083"/>
            <w:vAlign w:val="center"/>
          </w:tcPr>
          <w:p>
            <w:r>
              <w:rPr>
                <w:sz w:val="16"/>
              </w:rPr>
              <w:t>0.614</w:t>
            </w:r>
          </w:p>
        </w:tc>
        <w:tc>
          <w:tcPr>
            <w:tcW w:type="dxa" w:w="1083"/>
            <w:vAlign w:val="center"/>
          </w:tcPr>
          <w:p>
            <w:r>
              <w:rPr>
                <w:sz w:val="16"/>
              </w:rPr>
              <w:t>0.036</w:t>
            </w:r>
          </w:p>
        </w:tc>
        <w:tc>
          <w:tcPr>
            <w:tcW w:type="dxa" w:w="1083"/>
            <w:vAlign w:val="center"/>
          </w:tcPr>
          <w:p>
            <w:r>
              <w:rPr>
                <w:sz w:val="16"/>
              </w:rPr>
              <w:t>-0.009 to 0.077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small/high</w:t>
            </w:r>
          </w:p>
        </w:tc>
        <w:tc>
          <w:tcPr>
            <w:tcW w:type="dxa" w:w="1083"/>
            <w:vAlign w:val="center"/>
          </w:tcPr>
          <w:p>
            <w:r>
              <w:rPr>
                <w:sz w:val="16"/>
              </w:rPr>
              <w:t>KIRC–WNT</w:t>
            </w:r>
          </w:p>
        </w:tc>
        <w:tc>
          <w:tcPr>
            <w:tcW w:type="dxa" w:w="1083"/>
            <w:vAlign w:val="center"/>
          </w:tcPr>
          <w:p>
            <w:r>
              <w:rPr>
                <w:sz w:val="16"/>
              </w:rPr>
              <w:t>BA</w:t>
            </w:r>
          </w:p>
        </w:tc>
        <w:tc>
          <w:tcPr>
            <w:tcW w:type="dxa" w:w="1083"/>
            <w:vAlign w:val="center"/>
          </w:tcPr>
          <w:p>
            <w:r>
              <w:rPr>
                <w:sz w:val="16"/>
              </w:rPr>
              <w:t>0.594</w:t>
            </w:r>
          </w:p>
        </w:tc>
        <w:tc>
          <w:tcPr>
            <w:tcW w:type="dxa" w:w="1083"/>
            <w:vAlign w:val="center"/>
          </w:tcPr>
          <w:p>
            <w:r>
              <w:rPr>
                <w:sz w:val="16"/>
              </w:rPr>
              <w:t>0.616</w:t>
            </w:r>
          </w:p>
        </w:tc>
        <w:tc>
          <w:tcPr>
            <w:tcW w:type="dxa" w:w="1083"/>
            <w:vAlign w:val="center"/>
          </w:tcPr>
          <w:p>
            <w:r>
              <w:rPr>
                <w:sz w:val="16"/>
              </w:rPr>
              <w:t>0.023</w:t>
            </w:r>
          </w:p>
        </w:tc>
        <w:tc>
          <w:tcPr>
            <w:tcW w:type="dxa" w:w="1083"/>
            <w:vAlign w:val="center"/>
          </w:tcPr>
          <w:p>
            <w:r>
              <w:rPr>
                <w:sz w:val="16"/>
              </w:rPr>
              <w:t>-0.018 to 0.061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medium/high</w:t>
            </w:r>
          </w:p>
        </w:tc>
        <w:tc>
          <w:tcPr>
            <w:tcW w:type="dxa" w:w="1083"/>
            <w:vAlign w:val="center"/>
          </w:tcPr>
          <w:p>
            <w:r>
              <w:rPr>
                <w:sz w:val="16"/>
              </w:rPr>
              <w:t>LUAD–TGF-Beta</w:t>
            </w:r>
          </w:p>
        </w:tc>
        <w:tc>
          <w:tcPr>
            <w:tcW w:type="dxa" w:w="1083"/>
            <w:vAlign w:val="center"/>
          </w:tcPr>
          <w:p>
            <w:r>
              <w:rPr>
                <w:sz w:val="16"/>
              </w:rPr>
              <w:t>BA</w:t>
            </w:r>
          </w:p>
        </w:tc>
        <w:tc>
          <w:tcPr>
            <w:tcW w:type="dxa" w:w="1083"/>
            <w:vAlign w:val="center"/>
          </w:tcPr>
          <w:p>
            <w:r>
              <w:rPr>
                <w:sz w:val="16"/>
              </w:rPr>
              <w:t>0.616</w:t>
            </w:r>
          </w:p>
        </w:tc>
        <w:tc>
          <w:tcPr>
            <w:tcW w:type="dxa" w:w="1083"/>
            <w:vAlign w:val="center"/>
          </w:tcPr>
          <w:p>
            <w:r>
              <w:rPr>
                <w:sz w:val="16"/>
              </w:rPr>
              <w:t>0.620</w:t>
            </w:r>
          </w:p>
        </w:tc>
        <w:tc>
          <w:tcPr>
            <w:tcW w:type="dxa" w:w="1083"/>
            <w:vAlign w:val="center"/>
          </w:tcPr>
          <w:p>
            <w:r>
              <w:rPr>
                <w:sz w:val="16"/>
              </w:rPr>
              <w:t>0.004</w:t>
            </w:r>
          </w:p>
        </w:tc>
        <w:tc>
          <w:tcPr>
            <w:tcW w:type="dxa" w:w="1083"/>
            <w:vAlign w:val="center"/>
          </w:tcPr>
          <w:p>
            <w:r>
              <w:rPr>
                <w:sz w:val="16"/>
              </w:rPr>
              <w:t>-0.021 to 0.030</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small/moderate</w:t>
            </w:r>
          </w:p>
        </w:tc>
        <w:tc>
          <w:tcPr>
            <w:tcW w:type="dxa" w:w="1083"/>
            <w:vAlign w:val="center"/>
          </w:tcPr>
          <w:p>
            <w:r>
              <w:rPr>
                <w:sz w:val="16"/>
              </w:rPr>
              <w:t>THYM–Any called fusion</w:t>
            </w:r>
          </w:p>
        </w:tc>
        <w:tc>
          <w:tcPr>
            <w:tcW w:type="dxa" w:w="1083"/>
            <w:vAlign w:val="center"/>
          </w:tcPr>
          <w:p>
            <w:r>
              <w:rPr>
                <w:sz w:val="16"/>
              </w:rPr>
              <w:t>BA</w:t>
            </w:r>
          </w:p>
        </w:tc>
        <w:tc>
          <w:tcPr>
            <w:tcW w:type="dxa" w:w="1083"/>
            <w:vAlign w:val="center"/>
          </w:tcPr>
          <w:p>
            <w:r>
              <w:rPr>
                <w:sz w:val="16"/>
              </w:rPr>
              <w:t>0.589</w:t>
            </w:r>
          </w:p>
        </w:tc>
        <w:tc>
          <w:tcPr>
            <w:tcW w:type="dxa" w:w="1083"/>
            <w:vAlign w:val="center"/>
          </w:tcPr>
          <w:p>
            <w:r>
              <w:rPr>
                <w:sz w:val="16"/>
              </w:rPr>
              <w:t>0.569</w:t>
            </w:r>
          </w:p>
        </w:tc>
        <w:tc>
          <w:tcPr>
            <w:tcW w:type="dxa" w:w="1083"/>
            <w:vAlign w:val="center"/>
          </w:tcPr>
          <w:p>
            <w:r>
              <w:rPr>
                <w:sz w:val="16"/>
              </w:rPr>
              <w:t>-0.020</w:t>
            </w:r>
          </w:p>
        </w:tc>
        <w:tc>
          <w:tcPr>
            <w:tcW w:type="dxa" w:w="1083"/>
            <w:vAlign w:val="center"/>
          </w:tcPr>
          <w:p>
            <w:r>
              <w:rPr>
                <w:sz w:val="16"/>
              </w:rPr>
              <w:t>-0.063 to 0.027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large/low</w:t>
            </w:r>
          </w:p>
        </w:tc>
        <w:tc>
          <w:tcPr>
            <w:tcW w:type="dxa" w:w="1083"/>
            <w:vAlign w:val="center"/>
          </w:tcPr>
          <w:p>
            <w:r>
              <w:rPr>
                <w:sz w:val="16"/>
              </w:rPr>
              <w:t>LUAD–KRAS</w:t>
            </w:r>
          </w:p>
        </w:tc>
        <w:tc>
          <w:tcPr>
            <w:tcW w:type="dxa" w:w="1083"/>
            <w:vAlign w:val="center"/>
          </w:tcPr>
          <w:p>
            <w:r>
              <w:rPr>
                <w:sz w:val="16"/>
              </w:rPr>
              <w:t>BA</w:t>
            </w:r>
          </w:p>
        </w:tc>
        <w:tc>
          <w:tcPr>
            <w:tcW w:type="dxa" w:w="1083"/>
            <w:vAlign w:val="center"/>
          </w:tcPr>
          <w:p>
            <w:r>
              <w:rPr>
                <w:sz w:val="16"/>
              </w:rPr>
              <w:t>0.572</w:t>
            </w:r>
          </w:p>
        </w:tc>
        <w:tc>
          <w:tcPr>
            <w:tcW w:type="dxa" w:w="1083"/>
            <w:vAlign w:val="center"/>
          </w:tcPr>
          <w:p>
            <w:r>
              <w:rPr>
                <w:sz w:val="16"/>
              </w:rPr>
              <w:t>0.584</w:t>
            </w:r>
          </w:p>
        </w:tc>
        <w:tc>
          <w:tcPr>
            <w:tcW w:type="dxa" w:w="1083"/>
            <w:vAlign w:val="center"/>
          </w:tcPr>
          <w:p>
            <w:r>
              <w:rPr>
                <w:sz w:val="16"/>
              </w:rPr>
              <w:t>0.012</w:t>
            </w:r>
          </w:p>
        </w:tc>
        <w:tc>
          <w:tcPr>
            <w:tcW w:type="dxa" w:w="1083"/>
            <w:vAlign w:val="center"/>
          </w:tcPr>
          <w:p>
            <w:r>
              <w:rPr>
                <w:sz w:val="16"/>
              </w:rPr>
              <w:t>-0.012 to 0.037</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large/low</w:t>
            </w:r>
          </w:p>
        </w:tc>
        <w:tc>
          <w:tcPr>
            <w:tcW w:type="dxa" w:w="1083"/>
            <w:vAlign w:val="center"/>
          </w:tcPr>
          <w:p>
            <w:r>
              <w:rPr>
                <w:sz w:val="16"/>
              </w:rPr>
              <w:t>LGG–Genome doubling</w:t>
            </w:r>
          </w:p>
        </w:tc>
        <w:tc>
          <w:tcPr>
            <w:tcW w:type="dxa" w:w="1083"/>
            <w:vAlign w:val="center"/>
          </w:tcPr>
          <w:p>
            <w:r>
              <w:rPr>
                <w:sz w:val="16"/>
              </w:rPr>
              <w:t>BA</w:t>
            </w:r>
          </w:p>
        </w:tc>
        <w:tc>
          <w:tcPr>
            <w:tcW w:type="dxa" w:w="1083"/>
            <w:vAlign w:val="center"/>
          </w:tcPr>
          <w:p>
            <w:r>
              <w:rPr>
                <w:sz w:val="16"/>
              </w:rPr>
              <w:t>0.556</w:t>
            </w:r>
          </w:p>
        </w:tc>
        <w:tc>
          <w:tcPr>
            <w:tcW w:type="dxa" w:w="1083"/>
            <w:vAlign w:val="center"/>
          </w:tcPr>
          <w:p>
            <w:r>
              <w:rPr>
                <w:sz w:val="16"/>
              </w:rPr>
              <w:t>0.571</w:t>
            </w:r>
          </w:p>
        </w:tc>
        <w:tc>
          <w:tcPr>
            <w:tcW w:type="dxa" w:w="1083"/>
            <w:vAlign w:val="center"/>
          </w:tcPr>
          <w:p>
            <w:r>
              <w:rPr>
                <w:sz w:val="16"/>
              </w:rPr>
              <w:t>0.015</w:t>
            </w:r>
          </w:p>
        </w:tc>
        <w:tc>
          <w:tcPr>
            <w:tcW w:type="dxa" w:w="1083"/>
            <w:vAlign w:val="center"/>
          </w:tcPr>
          <w:p>
            <w:r>
              <w:rPr>
                <w:sz w:val="16"/>
              </w:rPr>
              <w:t>-0.018 to 0.047</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large/moderate</w:t>
            </w:r>
          </w:p>
        </w:tc>
        <w:tc>
          <w:tcPr>
            <w:tcW w:type="dxa" w:w="1083"/>
            <w:vAlign w:val="center"/>
          </w:tcPr>
          <w:p>
            <w:r>
              <w:rPr>
                <w:sz w:val="16"/>
              </w:rPr>
              <w:t>UCEC–MYC</w:t>
            </w:r>
          </w:p>
        </w:tc>
        <w:tc>
          <w:tcPr>
            <w:tcW w:type="dxa" w:w="1083"/>
            <w:vAlign w:val="center"/>
          </w:tcPr>
          <w:p>
            <w:r>
              <w:rPr>
                <w:sz w:val="16"/>
              </w:rPr>
              <w:t>BA</w:t>
            </w:r>
          </w:p>
        </w:tc>
        <w:tc>
          <w:tcPr>
            <w:tcW w:type="dxa" w:w="1083"/>
            <w:vAlign w:val="center"/>
          </w:tcPr>
          <w:p>
            <w:r>
              <w:rPr>
                <w:sz w:val="16"/>
              </w:rPr>
              <w:t>0.573</w:t>
            </w:r>
          </w:p>
        </w:tc>
        <w:tc>
          <w:tcPr>
            <w:tcW w:type="dxa" w:w="1083"/>
            <w:vAlign w:val="center"/>
          </w:tcPr>
          <w:p>
            <w:r>
              <w:rPr>
                <w:sz w:val="16"/>
              </w:rPr>
              <w:t>0.568</w:t>
            </w:r>
          </w:p>
        </w:tc>
        <w:tc>
          <w:tcPr>
            <w:tcW w:type="dxa" w:w="1083"/>
            <w:vAlign w:val="center"/>
          </w:tcPr>
          <w:p>
            <w:r>
              <w:rPr>
                <w:sz w:val="16"/>
              </w:rPr>
              <w:t>-0.005</w:t>
            </w:r>
          </w:p>
        </w:tc>
        <w:tc>
          <w:tcPr>
            <w:tcW w:type="dxa" w:w="1083"/>
            <w:vAlign w:val="center"/>
          </w:tcPr>
          <w:p>
            <w:r>
              <w:rPr>
                <w:sz w:val="16"/>
              </w:rPr>
              <w:t>-0.024 to 0.012</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small/moderate</w:t>
            </w:r>
          </w:p>
        </w:tc>
        <w:tc>
          <w:tcPr>
            <w:tcW w:type="dxa" w:w="1083"/>
            <w:vAlign w:val="center"/>
          </w:tcPr>
          <w:p>
            <w:r>
              <w:rPr>
                <w:sz w:val="16"/>
              </w:rPr>
              <w:t>PAAD–MYC</w:t>
            </w:r>
          </w:p>
        </w:tc>
        <w:tc>
          <w:tcPr>
            <w:tcW w:type="dxa" w:w="1083"/>
            <w:vAlign w:val="center"/>
          </w:tcPr>
          <w:p>
            <w:r>
              <w:rPr>
                <w:sz w:val="16"/>
              </w:rPr>
              <w:t>BA</w:t>
            </w:r>
          </w:p>
        </w:tc>
        <w:tc>
          <w:tcPr>
            <w:tcW w:type="dxa" w:w="1083"/>
            <w:vAlign w:val="center"/>
          </w:tcPr>
          <w:p>
            <w:r>
              <w:rPr>
                <w:sz w:val="16"/>
              </w:rPr>
              <w:t>0.526</w:t>
            </w:r>
          </w:p>
        </w:tc>
        <w:tc>
          <w:tcPr>
            <w:tcW w:type="dxa" w:w="1083"/>
            <w:vAlign w:val="center"/>
          </w:tcPr>
          <w:p>
            <w:r>
              <w:rPr>
                <w:sz w:val="16"/>
              </w:rPr>
              <w:t>0.545</w:t>
            </w:r>
          </w:p>
        </w:tc>
        <w:tc>
          <w:tcPr>
            <w:tcW w:type="dxa" w:w="1083"/>
            <w:vAlign w:val="center"/>
          </w:tcPr>
          <w:p>
            <w:r>
              <w:rPr>
                <w:sz w:val="16"/>
              </w:rPr>
              <w:t>0.019</w:t>
            </w:r>
          </w:p>
        </w:tc>
        <w:tc>
          <w:tcPr>
            <w:tcW w:type="dxa" w:w="1083"/>
            <w:vAlign w:val="center"/>
          </w:tcPr>
          <w:p>
            <w:r>
              <w:rPr>
                <w:sz w:val="16"/>
              </w:rPr>
              <w:t>-0.032 to 0.074</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medium/low</w:t>
            </w:r>
          </w:p>
        </w:tc>
        <w:tc>
          <w:tcPr>
            <w:tcW w:type="dxa" w:w="1083"/>
            <w:vAlign w:val="center"/>
          </w:tcPr>
          <w:p>
            <w:r>
              <w:rPr>
                <w:sz w:val="16"/>
              </w:rPr>
              <w:t>HNSC–Any called fusion</w:t>
            </w:r>
          </w:p>
        </w:tc>
        <w:tc>
          <w:tcPr>
            <w:tcW w:type="dxa" w:w="1083"/>
            <w:vAlign w:val="center"/>
          </w:tcPr>
          <w:p>
            <w:r>
              <w:rPr>
                <w:sz w:val="16"/>
              </w:rPr>
              <w:t>BA</w:t>
            </w:r>
          </w:p>
        </w:tc>
        <w:tc>
          <w:tcPr>
            <w:tcW w:type="dxa" w:w="1083"/>
            <w:vAlign w:val="center"/>
          </w:tcPr>
          <w:p>
            <w:r>
              <w:rPr>
                <w:sz w:val="16"/>
              </w:rPr>
              <w:t>0.544</w:t>
            </w:r>
          </w:p>
        </w:tc>
        <w:tc>
          <w:tcPr>
            <w:tcW w:type="dxa" w:w="1083"/>
            <w:vAlign w:val="center"/>
          </w:tcPr>
          <w:p>
            <w:r>
              <w:rPr>
                <w:sz w:val="16"/>
              </w:rPr>
              <w:t>0.556</w:t>
            </w:r>
          </w:p>
        </w:tc>
        <w:tc>
          <w:tcPr>
            <w:tcW w:type="dxa" w:w="1083"/>
            <w:vAlign w:val="center"/>
          </w:tcPr>
          <w:p>
            <w:r>
              <w:rPr>
                <w:sz w:val="16"/>
              </w:rPr>
              <w:t>0.012</w:t>
            </w:r>
          </w:p>
        </w:tc>
        <w:tc>
          <w:tcPr>
            <w:tcW w:type="dxa" w:w="1083"/>
            <w:vAlign w:val="center"/>
          </w:tcPr>
          <w:p>
            <w:r>
              <w:rPr>
                <w:sz w:val="16"/>
              </w:rPr>
              <w:t>-0.012 to 0.036</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large/moderate</w:t>
            </w:r>
          </w:p>
        </w:tc>
        <w:tc>
          <w:tcPr>
            <w:tcW w:type="dxa" w:w="1083"/>
            <w:vAlign w:val="center"/>
          </w:tcPr>
          <w:p>
            <w:r>
              <w:rPr>
                <w:sz w:val="16"/>
              </w:rPr>
              <w:t>LUSC–Any called fusion</w:t>
            </w:r>
          </w:p>
        </w:tc>
        <w:tc>
          <w:tcPr>
            <w:tcW w:type="dxa" w:w="1083"/>
            <w:vAlign w:val="center"/>
          </w:tcPr>
          <w:p>
            <w:r>
              <w:rPr>
                <w:sz w:val="16"/>
              </w:rPr>
              <w:t>BA</w:t>
            </w:r>
          </w:p>
        </w:tc>
        <w:tc>
          <w:tcPr>
            <w:tcW w:type="dxa" w:w="1083"/>
            <w:vAlign w:val="center"/>
          </w:tcPr>
          <w:p>
            <w:r>
              <w:rPr>
                <w:sz w:val="16"/>
              </w:rPr>
              <w:t>0.557</w:t>
            </w:r>
          </w:p>
        </w:tc>
        <w:tc>
          <w:tcPr>
            <w:tcW w:type="dxa" w:w="1083"/>
            <w:vAlign w:val="center"/>
          </w:tcPr>
          <w:p>
            <w:r>
              <w:rPr>
                <w:sz w:val="16"/>
              </w:rPr>
              <w:t>0.555</w:t>
            </w:r>
          </w:p>
        </w:tc>
        <w:tc>
          <w:tcPr>
            <w:tcW w:type="dxa" w:w="1083"/>
            <w:vAlign w:val="center"/>
          </w:tcPr>
          <w:p>
            <w:r>
              <w:rPr>
                <w:sz w:val="16"/>
              </w:rPr>
              <w:t>-0.001</w:t>
            </w:r>
          </w:p>
        </w:tc>
        <w:tc>
          <w:tcPr>
            <w:tcW w:type="dxa" w:w="1083"/>
            <w:vAlign w:val="center"/>
          </w:tcPr>
          <w:p>
            <w:r>
              <w:rPr>
                <w:sz w:val="16"/>
              </w:rPr>
              <w:t>-0.028 to 0.025</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small/moderate</w:t>
            </w:r>
          </w:p>
        </w:tc>
        <w:tc>
          <w:tcPr>
            <w:tcW w:type="dxa" w:w="1083"/>
            <w:vAlign w:val="center"/>
          </w:tcPr>
          <w:p>
            <w:r>
              <w:rPr>
                <w:sz w:val="16"/>
              </w:rPr>
              <w:t>CESC–KMT2C</w:t>
            </w:r>
          </w:p>
        </w:tc>
        <w:tc>
          <w:tcPr>
            <w:tcW w:type="dxa" w:w="1083"/>
            <w:vAlign w:val="center"/>
          </w:tcPr>
          <w:p>
            <w:r>
              <w:rPr>
                <w:sz w:val="16"/>
              </w:rPr>
              <w:t>BA</w:t>
            </w:r>
          </w:p>
        </w:tc>
        <w:tc>
          <w:tcPr>
            <w:tcW w:type="dxa" w:w="1083"/>
            <w:vAlign w:val="center"/>
          </w:tcPr>
          <w:p>
            <w:r>
              <w:rPr>
                <w:sz w:val="16"/>
              </w:rPr>
              <w:t>0.529</w:t>
            </w:r>
          </w:p>
        </w:tc>
        <w:tc>
          <w:tcPr>
            <w:tcW w:type="dxa" w:w="1083"/>
            <w:vAlign w:val="center"/>
          </w:tcPr>
          <w:p>
            <w:r>
              <w:rPr>
                <w:sz w:val="16"/>
              </w:rPr>
              <w:t>0.537</w:t>
            </w:r>
          </w:p>
        </w:tc>
        <w:tc>
          <w:tcPr>
            <w:tcW w:type="dxa" w:w="1083"/>
            <w:vAlign w:val="center"/>
          </w:tcPr>
          <w:p>
            <w:r>
              <w:rPr>
                <w:sz w:val="16"/>
              </w:rPr>
              <w:t>0.008</w:t>
            </w:r>
          </w:p>
        </w:tc>
        <w:tc>
          <w:tcPr>
            <w:tcW w:type="dxa" w:w="1083"/>
            <w:vAlign w:val="center"/>
          </w:tcPr>
          <w:p>
            <w:r>
              <w:rPr>
                <w:sz w:val="16"/>
              </w:rPr>
              <w:t>-0.031 to 0.047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medium/high</w:t>
            </w:r>
          </w:p>
        </w:tc>
        <w:tc>
          <w:tcPr>
            <w:tcW w:type="dxa" w:w="1083"/>
            <w:vAlign w:val="center"/>
          </w:tcPr>
          <w:p>
            <w:r>
              <w:rPr>
                <w:sz w:val="16"/>
              </w:rPr>
              <w:t>HNSC–AJUBA</w:t>
            </w:r>
          </w:p>
        </w:tc>
        <w:tc>
          <w:tcPr>
            <w:tcW w:type="dxa" w:w="1083"/>
            <w:vAlign w:val="center"/>
          </w:tcPr>
          <w:p>
            <w:r>
              <w:rPr>
                <w:sz w:val="16"/>
              </w:rPr>
              <w:t>BA</w:t>
            </w:r>
          </w:p>
        </w:tc>
        <w:tc>
          <w:tcPr>
            <w:tcW w:type="dxa" w:w="1083"/>
            <w:vAlign w:val="center"/>
          </w:tcPr>
          <w:p>
            <w:r>
              <w:rPr>
                <w:sz w:val="16"/>
              </w:rPr>
              <w:t>0.540</w:t>
            </w:r>
          </w:p>
        </w:tc>
        <w:tc>
          <w:tcPr>
            <w:tcW w:type="dxa" w:w="1083"/>
            <w:vAlign w:val="center"/>
          </w:tcPr>
          <w:p>
            <w:r>
              <w:rPr>
                <w:sz w:val="16"/>
              </w:rPr>
              <w:t>0.588</w:t>
            </w:r>
          </w:p>
        </w:tc>
        <w:tc>
          <w:tcPr>
            <w:tcW w:type="dxa" w:w="1083"/>
            <w:vAlign w:val="center"/>
          </w:tcPr>
          <w:p>
            <w:r>
              <w:rPr>
                <w:sz w:val="16"/>
              </w:rPr>
              <w:t>0.048</w:t>
            </w:r>
          </w:p>
        </w:tc>
        <w:tc>
          <w:tcPr>
            <w:tcW w:type="dxa" w:w="1083"/>
            <w:vAlign w:val="center"/>
          </w:tcPr>
          <w:p>
            <w:r>
              <w:rPr>
                <w:sz w:val="16"/>
              </w:rPr>
              <w:t>0.004 to 0.090</w:t>
            </w:r>
          </w:p>
        </w:tc>
        <w:tc>
          <w:tcPr>
            <w:tcW w:type="dxa" w:w="1083"/>
            <w:vAlign w:val="center"/>
          </w:tcPr>
          <w:p>
            <w:r>
              <w:rPr>
                <w:sz w:val="16"/>
              </w:rPr>
              <w:t>ridge</w:t>
            </w:r>
          </w:p>
        </w:tc>
      </w:tr>
      <w:tr>
        <w:trPr>
          <w:cantSplit/>
        </w:trPr>
        <w:tc>
          <w:tcPr>
            <w:tcW w:type="dxa" w:w="1083"/>
            <w:vAlign w:val="center"/>
          </w:tcPr>
          <w:p>
            <w:r>
              <w:rPr>
                <w:sz w:val="16"/>
              </w:rPr>
              <w:t>bin./mut.</w:t>
            </w:r>
          </w:p>
        </w:tc>
        <w:tc>
          <w:tcPr>
            <w:tcW w:type="dxa" w:w="1083"/>
            <w:vAlign w:val="center"/>
          </w:tcPr>
          <w:p>
            <w:r>
              <w:rPr>
                <w:sz w:val="16"/>
              </w:rPr>
              <w:t>large/high</w:t>
            </w:r>
          </w:p>
        </w:tc>
        <w:tc>
          <w:tcPr>
            <w:tcW w:type="dxa" w:w="1083"/>
            <w:vAlign w:val="center"/>
          </w:tcPr>
          <w:p>
            <w:r>
              <w:rPr>
                <w:sz w:val="16"/>
              </w:rPr>
              <w:t>LUAD–ARID1A</w:t>
            </w:r>
          </w:p>
        </w:tc>
        <w:tc>
          <w:tcPr>
            <w:tcW w:type="dxa" w:w="1083"/>
            <w:vAlign w:val="center"/>
          </w:tcPr>
          <w:p>
            <w:r>
              <w:rPr>
                <w:sz w:val="16"/>
              </w:rPr>
              <w:t>BA</w:t>
            </w:r>
          </w:p>
        </w:tc>
        <w:tc>
          <w:tcPr>
            <w:tcW w:type="dxa" w:w="1083"/>
            <w:vAlign w:val="center"/>
          </w:tcPr>
          <w:p>
            <w:r>
              <w:rPr>
                <w:sz w:val="16"/>
              </w:rPr>
              <w:t>0.528</w:t>
            </w:r>
          </w:p>
        </w:tc>
        <w:tc>
          <w:tcPr>
            <w:tcW w:type="dxa" w:w="1083"/>
            <w:vAlign w:val="center"/>
          </w:tcPr>
          <w:p>
            <w:r>
              <w:rPr>
                <w:sz w:val="16"/>
              </w:rPr>
              <w:t>0.522</w:t>
            </w:r>
          </w:p>
        </w:tc>
        <w:tc>
          <w:tcPr>
            <w:tcW w:type="dxa" w:w="1083"/>
            <w:vAlign w:val="center"/>
          </w:tcPr>
          <w:p>
            <w:r>
              <w:rPr>
                <w:sz w:val="16"/>
              </w:rPr>
              <w:t>-0.006</w:t>
            </w:r>
          </w:p>
        </w:tc>
        <w:tc>
          <w:tcPr>
            <w:tcW w:type="dxa" w:w="1083"/>
            <w:vAlign w:val="center"/>
          </w:tcPr>
          <w:p>
            <w:r>
              <w:rPr>
                <w:sz w:val="16"/>
              </w:rPr>
              <w:t>-0.050 to 0.039</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medium/low</w:t>
            </w:r>
          </w:p>
        </w:tc>
        <w:tc>
          <w:tcPr>
            <w:tcW w:type="dxa" w:w="1083"/>
            <w:vAlign w:val="center"/>
          </w:tcPr>
          <w:p>
            <w:r>
              <w:rPr>
                <w:sz w:val="16"/>
              </w:rPr>
              <w:t>LUAD–RTK RAS</w:t>
            </w:r>
          </w:p>
        </w:tc>
        <w:tc>
          <w:tcPr>
            <w:tcW w:type="dxa" w:w="1083"/>
            <w:vAlign w:val="center"/>
          </w:tcPr>
          <w:p>
            <w:r>
              <w:rPr>
                <w:sz w:val="16"/>
              </w:rPr>
              <w:t>BA</w:t>
            </w:r>
          </w:p>
        </w:tc>
        <w:tc>
          <w:tcPr>
            <w:tcW w:type="dxa" w:w="1083"/>
            <w:vAlign w:val="center"/>
          </w:tcPr>
          <w:p>
            <w:r>
              <w:rPr>
                <w:sz w:val="16"/>
              </w:rPr>
              <w:t>0.510</w:t>
            </w:r>
          </w:p>
        </w:tc>
        <w:tc>
          <w:tcPr>
            <w:tcW w:type="dxa" w:w="1083"/>
            <w:vAlign w:val="center"/>
          </w:tcPr>
          <w:p>
            <w:r>
              <w:rPr>
                <w:sz w:val="16"/>
              </w:rPr>
              <w:t>0.504</w:t>
            </w:r>
          </w:p>
        </w:tc>
        <w:tc>
          <w:tcPr>
            <w:tcW w:type="dxa" w:w="1083"/>
            <w:vAlign w:val="center"/>
          </w:tcPr>
          <w:p>
            <w:r>
              <w:rPr>
                <w:sz w:val="16"/>
              </w:rPr>
              <w:t>-0.005</w:t>
            </w:r>
          </w:p>
        </w:tc>
        <w:tc>
          <w:tcPr>
            <w:tcW w:type="dxa" w:w="1083"/>
            <w:vAlign w:val="center"/>
          </w:tcPr>
          <w:p>
            <w:r>
              <w:rPr>
                <w:sz w:val="16"/>
              </w:rPr>
              <w:t>-0.027 to 0.016</w:t>
            </w:r>
          </w:p>
        </w:tc>
        <w:tc>
          <w:tcPr>
            <w:tcW w:type="dxa" w:w="1083"/>
            <w:vAlign w:val="center"/>
          </w:tcPr>
          <w:p>
            <w:r>
              <w:rPr>
                <w:sz w:val="16"/>
              </w:rPr>
              <w:t>uncertain</w:t>
            </w:r>
          </w:p>
        </w:tc>
      </w:tr>
      <w:tr>
        <w:trPr>
          <w:cantSplit/>
        </w:trPr>
        <w:tc>
          <w:tcPr>
            <w:tcW w:type="dxa" w:w="1083"/>
            <w:vAlign w:val="center"/>
          </w:tcPr>
          <w:p>
            <w:r>
              <w:rPr>
                <w:sz w:val="16"/>
              </w:rPr>
              <w:t>bin./aneuploidy</w:t>
            </w:r>
          </w:p>
        </w:tc>
        <w:tc>
          <w:tcPr>
            <w:tcW w:type="dxa" w:w="1083"/>
            <w:vAlign w:val="center"/>
          </w:tcPr>
          <w:p>
            <w:r>
              <w:rPr>
                <w:sz w:val="16"/>
              </w:rPr>
              <w:t>small/low</w:t>
            </w:r>
          </w:p>
        </w:tc>
        <w:tc>
          <w:tcPr>
            <w:tcW w:type="dxa" w:w="1083"/>
            <w:vAlign w:val="center"/>
          </w:tcPr>
          <w:p>
            <w:r>
              <w:rPr>
                <w:sz w:val="16"/>
              </w:rPr>
              <w:t>ESCA–Genome doubling</w:t>
            </w:r>
          </w:p>
        </w:tc>
        <w:tc>
          <w:tcPr>
            <w:tcW w:type="dxa" w:w="1083"/>
            <w:vAlign w:val="center"/>
          </w:tcPr>
          <w:p>
            <w:r>
              <w:rPr>
                <w:sz w:val="16"/>
              </w:rPr>
              <w:t>BA</w:t>
            </w:r>
          </w:p>
        </w:tc>
        <w:tc>
          <w:tcPr>
            <w:tcW w:type="dxa" w:w="1083"/>
            <w:vAlign w:val="center"/>
          </w:tcPr>
          <w:p>
            <w:r>
              <w:rPr>
                <w:sz w:val="16"/>
              </w:rPr>
              <w:t>0.501</w:t>
            </w:r>
          </w:p>
        </w:tc>
        <w:tc>
          <w:tcPr>
            <w:tcW w:type="dxa" w:w="1083"/>
            <w:vAlign w:val="center"/>
          </w:tcPr>
          <w:p>
            <w:r>
              <w:rPr>
                <w:sz w:val="16"/>
              </w:rPr>
              <w:t>0.530</w:t>
            </w:r>
          </w:p>
        </w:tc>
        <w:tc>
          <w:tcPr>
            <w:tcW w:type="dxa" w:w="1083"/>
            <w:vAlign w:val="center"/>
          </w:tcPr>
          <w:p>
            <w:r>
              <w:rPr>
                <w:sz w:val="16"/>
              </w:rPr>
              <w:t>0.028</w:t>
            </w:r>
          </w:p>
        </w:tc>
        <w:tc>
          <w:tcPr>
            <w:tcW w:type="dxa" w:w="1083"/>
            <w:vAlign w:val="center"/>
          </w:tcPr>
          <w:p>
            <w:r>
              <w:rPr>
                <w:sz w:val="16"/>
              </w:rPr>
              <w:t>-0.014 to 0.070</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large/high</w:t>
            </w:r>
          </w:p>
        </w:tc>
        <w:tc>
          <w:tcPr>
            <w:tcW w:type="dxa" w:w="1083"/>
            <w:vAlign w:val="center"/>
          </w:tcPr>
          <w:p>
            <w:r>
              <w:rPr>
                <w:sz w:val="16"/>
              </w:rPr>
              <w:t>THCA–PI3K</w:t>
            </w:r>
          </w:p>
        </w:tc>
        <w:tc>
          <w:tcPr>
            <w:tcW w:type="dxa" w:w="1083"/>
            <w:vAlign w:val="center"/>
          </w:tcPr>
          <w:p>
            <w:r>
              <w:rPr>
                <w:sz w:val="16"/>
              </w:rPr>
              <w:t>BA</w:t>
            </w:r>
          </w:p>
        </w:tc>
        <w:tc>
          <w:tcPr>
            <w:tcW w:type="dxa" w:w="1083"/>
            <w:vAlign w:val="center"/>
          </w:tcPr>
          <w:p>
            <w:r>
              <w:rPr>
                <w:sz w:val="16"/>
              </w:rPr>
              <w:t>0.461</w:t>
            </w:r>
          </w:p>
        </w:tc>
        <w:tc>
          <w:tcPr>
            <w:tcW w:type="dxa" w:w="1083"/>
            <w:vAlign w:val="center"/>
          </w:tcPr>
          <w:p>
            <w:r>
              <w:rPr>
                <w:sz w:val="16"/>
              </w:rPr>
              <w:t>0.486</w:t>
            </w:r>
          </w:p>
        </w:tc>
        <w:tc>
          <w:tcPr>
            <w:tcW w:type="dxa" w:w="1083"/>
            <w:vAlign w:val="center"/>
          </w:tcPr>
          <w:p>
            <w:r>
              <w:rPr>
                <w:sz w:val="16"/>
              </w:rPr>
              <w:t>0.025</w:t>
            </w:r>
          </w:p>
        </w:tc>
        <w:tc>
          <w:tcPr>
            <w:tcW w:type="dxa" w:w="1083"/>
            <w:vAlign w:val="center"/>
          </w:tcPr>
          <w:p>
            <w:r>
              <w:rPr>
                <w:sz w:val="16"/>
              </w:rPr>
              <w:t>-0.032 to 0.081</w:t>
            </w:r>
          </w:p>
        </w:tc>
        <w:tc>
          <w:tcPr>
            <w:tcW w:type="dxa" w:w="1083"/>
            <w:vAlign w:val="center"/>
          </w:tcPr>
          <w:p>
            <w:r>
              <w:rPr>
                <w:sz w:val="16"/>
              </w:rPr>
              <w:t>uncertain</w:t>
            </w:r>
          </w:p>
        </w:tc>
      </w:tr>
      <w:tr>
        <w:trPr>
          <w:cantSplit/>
        </w:trPr>
        <w:tc>
          <w:tcPr>
            <w:tcW w:type="dxa" w:w="1083"/>
            <w:vAlign w:val="center"/>
          </w:tcPr>
          <w:p>
            <w:r>
              <w:rPr>
                <w:sz w:val="16"/>
              </w:rPr>
              <w:t>bin./pathway</w:t>
            </w:r>
          </w:p>
        </w:tc>
        <w:tc>
          <w:tcPr>
            <w:tcW w:type="dxa" w:w="1083"/>
            <w:vAlign w:val="center"/>
          </w:tcPr>
          <w:p>
            <w:r>
              <w:rPr>
                <w:sz w:val="16"/>
              </w:rPr>
              <w:t>small/low</w:t>
            </w:r>
          </w:p>
        </w:tc>
        <w:tc>
          <w:tcPr>
            <w:tcW w:type="dxa" w:w="1083"/>
            <w:vAlign w:val="center"/>
          </w:tcPr>
          <w:p>
            <w:r>
              <w:rPr>
                <w:sz w:val="16"/>
              </w:rPr>
              <w:t>MESO–HIPPO</w:t>
            </w:r>
          </w:p>
        </w:tc>
        <w:tc>
          <w:tcPr>
            <w:tcW w:type="dxa" w:w="1083"/>
            <w:vAlign w:val="center"/>
          </w:tcPr>
          <w:p>
            <w:r>
              <w:rPr>
                <w:sz w:val="16"/>
              </w:rPr>
              <w:t>BA</w:t>
            </w:r>
          </w:p>
        </w:tc>
        <w:tc>
          <w:tcPr>
            <w:tcW w:type="dxa" w:w="1083"/>
            <w:vAlign w:val="center"/>
          </w:tcPr>
          <w:p>
            <w:r>
              <w:rPr>
                <w:sz w:val="16"/>
              </w:rPr>
              <w:t>0.457</w:t>
            </w:r>
          </w:p>
        </w:tc>
        <w:tc>
          <w:tcPr>
            <w:tcW w:type="dxa" w:w="1083"/>
            <w:vAlign w:val="center"/>
          </w:tcPr>
          <w:p>
            <w:r>
              <w:rPr>
                <w:sz w:val="16"/>
              </w:rPr>
              <w:t>0.481</w:t>
            </w:r>
          </w:p>
        </w:tc>
        <w:tc>
          <w:tcPr>
            <w:tcW w:type="dxa" w:w="1083"/>
            <w:vAlign w:val="center"/>
          </w:tcPr>
          <w:p>
            <w:r>
              <w:rPr>
                <w:sz w:val="16"/>
              </w:rPr>
              <w:t>0.024</w:t>
            </w:r>
          </w:p>
        </w:tc>
        <w:tc>
          <w:tcPr>
            <w:tcW w:type="dxa" w:w="1083"/>
            <w:vAlign w:val="center"/>
          </w:tcPr>
          <w:p>
            <w:r>
              <w:rPr>
                <w:sz w:val="16"/>
              </w:rPr>
              <w:t>-0.043 to 0.087</w:t>
            </w:r>
          </w:p>
        </w:tc>
        <w:tc>
          <w:tcPr>
            <w:tcW w:type="dxa" w:w="1083"/>
            <w:vAlign w:val="center"/>
          </w:tcPr>
          <w:p>
            <w:r>
              <w:rPr>
                <w:sz w:val="16"/>
              </w:rPr>
              <w:t>uncertain</w:t>
            </w:r>
          </w:p>
        </w:tc>
      </w:tr>
      <w:tr>
        <w:trPr>
          <w:cantSplit/>
        </w:trPr>
        <w:tc>
          <w:tcPr>
            <w:tcW w:type="dxa" w:w="1083"/>
            <w:vAlign w:val="center"/>
          </w:tcPr>
          <w:p>
            <w:r>
              <w:rPr>
                <w:sz w:val="16"/>
              </w:rPr>
              <w:t>bin./mut.</w:t>
            </w:r>
          </w:p>
        </w:tc>
        <w:tc>
          <w:tcPr>
            <w:tcW w:type="dxa" w:w="1083"/>
            <w:vAlign w:val="center"/>
          </w:tcPr>
          <w:p>
            <w:r>
              <w:rPr>
                <w:sz w:val="16"/>
              </w:rPr>
              <w:t>small/high</w:t>
            </w:r>
          </w:p>
        </w:tc>
        <w:tc>
          <w:tcPr>
            <w:tcW w:type="dxa" w:w="1083"/>
            <w:vAlign w:val="center"/>
          </w:tcPr>
          <w:p>
            <w:r>
              <w:rPr>
                <w:sz w:val="16"/>
              </w:rPr>
              <w:t>KIRC–MTOR</w:t>
            </w:r>
          </w:p>
        </w:tc>
        <w:tc>
          <w:tcPr>
            <w:tcW w:type="dxa" w:w="1083"/>
            <w:vAlign w:val="center"/>
          </w:tcPr>
          <w:p>
            <w:r>
              <w:rPr>
                <w:sz w:val="16"/>
              </w:rPr>
              <w:t>BA</w:t>
            </w:r>
          </w:p>
        </w:tc>
        <w:tc>
          <w:tcPr>
            <w:tcW w:type="dxa" w:w="1083"/>
            <w:vAlign w:val="center"/>
          </w:tcPr>
          <w:p>
            <w:r>
              <w:rPr>
                <w:sz w:val="16"/>
              </w:rPr>
              <w:t>0.475</w:t>
            </w:r>
          </w:p>
        </w:tc>
        <w:tc>
          <w:tcPr>
            <w:tcW w:type="dxa" w:w="1083"/>
            <w:vAlign w:val="center"/>
          </w:tcPr>
          <w:p>
            <w:r>
              <w:rPr>
                <w:sz w:val="16"/>
              </w:rPr>
              <w:t>0.516</w:t>
            </w:r>
          </w:p>
        </w:tc>
        <w:tc>
          <w:tcPr>
            <w:tcW w:type="dxa" w:w="1083"/>
            <w:vAlign w:val="center"/>
          </w:tcPr>
          <w:p>
            <w:r>
              <w:rPr>
                <w:sz w:val="16"/>
              </w:rPr>
              <w:t>0.041</w:t>
            </w:r>
          </w:p>
        </w:tc>
        <w:tc>
          <w:tcPr>
            <w:tcW w:type="dxa" w:w="1083"/>
            <w:vAlign w:val="center"/>
          </w:tcPr>
          <w:p>
            <w:r>
              <w:rPr>
                <w:sz w:val="16"/>
              </w:rPr>
              <w:t>-0.010 to 0.092</w:t>
            </w:r>
          </w:p>
        </w:tc>
        <w:tc>
          <w:tcPr>
            <w:tcW w:type="dxa" w:w="1083"/>
            <w:vAlign w:val="center"/>
          </w:tcPr>
          <w:p>
            <w:r>
              <w:rPr>
                <w:sz w:val="16"/>
              </w:rPr>
              <w:t>uncertain</w:t>
            </w:r>
          </w:p>
        </w:tc>
      </w:tr>
      <w:tr>
        <w:trPr>
          <w:cantSplit/>
        </w:trPr>
        <w:tc>
          <w:tcPr>
            <w:tcW w:type="dxa" w:w="1083"/>
            <w:vAlign w:val="center"/>
          </w:tcPr>
          <w:p>
            <w:r>
              <w:rPr>
                <w:sz w:val="16"/>
              </w:rPr>
              <w:t>bin./fusion</w:t>
            </w:r>
          </w:p>
        </w:tc>
        <w:tc>
          <w:tcPr>
            <w:tcW w:type="dxa" w:w="1083"/>
            <w:vAlign w:val="center"/>
          </w:tcPr>
          <w:p>
            <w:r>
              <w:rPr>
                <w:sz w:val="16"/>
              </w:rPr>
              <w:t>small/low</w:t>
            </w:r>
          </w:p>
        </w:tc>
        <w:tc>
          <w:tcPr>
            <w:tcW w:type="dxa" w:w="1083"/>
            <w:vAlign w:val="center"/>
          </w:tcPr>
          <w:p>
            <w:r>
              <w:rPr>
                <w:sz w:val="16"/>
              </w:rPr>
              <w:t>SKCM–Any called fusion</w:t>
            </w:r>
          </w:p>
        </w:tc>
        <w:tc>
          <w:tcPr>
            <w:tcW w:type="dxa" w:w="1083"/>
            <w:vAlign w:val="center"/>
          </w:tcPr>
          <w:p>
            <w:r>
              <w:rPr>
                <w:sz w:val="16"/>
              </w:rPr>
              <w:t>BA</w:t>
            </w:r>
          </w:p>
        </w:tc>
        <w:tc>
          <w:tcPr>
            <w:tcW w:type="dxa" w:w="1083"/>
            <w:vAlign w:val="center"/>
          </w:tcPr>
          <w:p>
            <w:r>
              <w:rPr>
                <w:sz w:val="16"/>
              </w:rPr>
              <w:t>0.428</w:t>
            </w:r>
          </w:p>
        </w:tc>
        <w:tc>
          <w:tcPr>
            <w:tcW w:type="dxa" w:w="1083"/>
            <w:vAlign w:val="center"/>
          </w:tcPr>
          <w:p>
            <w:r>
              <w:rPr>
                <w:sz w:val="16"/>
              </w:rPr>
              <w:t>0.445</w:t>
            </w:r>
          </w:p>
        </w:tc>
        <w:tc>
          <w:tcPr>
            <w:tcW w:type="dxa" w:w="1083"/>
            <w:vAlign w:val="center"/>
          </w:tcPr>
          <w:p>
            <w:r>
              <w:rPr>
                <w:sz w:val="16"/>
              </w:rPr>
              <w:t>0.017</w:t>
            </w:r>
          </w:p>
        </w:tc>
        <w:tc>
          <w:tcPr>
            <w:tcW w:type="dxa" w:w="1083"/>
            <w:vAlign w:val="center"/>
          </w:tcPr>
          <w:p>
            <w:r>
              <w:rPr>
                <w:sz w:val="16"/>
              </w:rPr>
              <w:t>-0.028 to 0.063</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large/not applicable</w:t>
            </w:r>
          </w:p>
        </w:tc>
        <w:tc>
          <w:tcPr>
            <w:tcW w:type="dxa" w:w="1083"/>
            <w:vAlign w:val="center"/>
          </w:tcPr>
          <w:p>
            <w:r>
              <w:rPr>
                <w:sz w:val="16"/>
              </w:rPr>
              <w:t>UCEC–Aneuploidy score</w:t>
            </w:r>
          </w:p>
        </w:tc>
        <w:tc>
          <w:tcPr>
            <w:tcW w:type="dxa" w:w="1083"/>
            <w:vAlign w:val="center"/>
          </w:tcPr>
          <w:p>
            <w:r>
              <w:rPr>
                <w:sz w:val="16"/>
              </w:rPr>
              <w:t>Spearman</w:t>
            </w:r>
          </w:p>
        </w:tc>
        <w:tc>
          <w:tcPr>
            <w:tcW w:type="dxa" w:w="1083"/>
            <w:vAlign w:val="center"/>
          </w:tcPr>
          <w:p>
            <w:r>
              <w:rPr>
                <w:sz w:val="16"/>
              </w:rPr>
              <w:t>0.598</w:t>
            </w:r>
          </w:p>
        </w:tc>
        <w:tc>
          <w:tcPr>
            <w:tcW w:type="dxa" w:w="1083"/>
            <w:vAlign w:val="center"/>
          </w:tcPr>
          <w:p>
            <w:r>
              <w:rPr>
                <w:sz w:val="16"/>
              </w:rPr>
              <w:t>0.606</w:t>
            </w:r>
          </w:p>
        </w:tc>
        <w:tc>
          <w:tcPr>
            <w:tcW w:type="dxa" w:w="1083"/>
            <w:vAlign w:val="center"/>
          </w:tcPr>
          <w:p>
            <w:r>
              <w:rPr>
                <w:sz w:val="16"/>
              </w:rPr>
              <w:t>0.008</w:t>
            </w:r>
          </w:p>
        </w:tc>
        <w:tc>
          <w:tcPr>
            <w:tcW w:type="dxa" w:w="1083"/>
            <w:vAlign w:val="center"/>
          </w:tcPr>
          <w:p>
            <w:r>
              <w:rPr>
                <w:sz w:val="16"/>
              </w:rPr>
              <w:t>-0.008 to 0.023</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large/not applicable</w:t>
            </w:r>
          </w:p>
        </w:tc>
        <w:tc>
          <w:tcPr>
            <w:tcW w:type="dxa" w:w="1083"/>
            <w:vAlign w:val="center"/>
          </w:tcPr>
          <w:p>
            <w:r>
              <w:rPr>
                <w:sz w:val="16"/>
              </w:rPr>
              <w:t>BLCA–IFN-gamma Response</w:t>
            </w:r>
          </w:p>
        </w:tc>
        <w:tc>
          <w:tcPr>
            <w:tcW w:type="dxa" w:w="1083"/>
            <w:vAlign w:val="center"/>
          </w:tcPr>
          <w:p>
            <w:r>
              <w:rPr>
                <w:sz w:val="16"/>
              </w:rPr>
              <w:t>Spearman</w:t>
            </w:r>
          </w:p>
        </w:tc>
        <w:tc>
          <w:tcPr>
            <w:tcW w:type="dxa" w:w="1083"/>
            <w:vAlign w:val="center"/>
          </w:tcPr>
          <w:p>
            <w:r>
              <w:rPr>
                <w:sz w:val="16"/>
              </w:rPr>
              <w:t>0.486</w:t>
            </w:r>
          </w:p>
        </w:tc>
        <w:tc>
          <w:tcPr>
            <w:tcW w:type="dxa" w:w="1083"/>
            <w:vAlign w:val="center"/>
          </w:tcPr>
          <w:p>
            <w:r>
              <w:rPr>
                <w:sz w:val="16"/>
              </w:rPr>
              <w:t>0.512</w:t>
            </w:r>
          </w:p>
        </w:tc>
        <w:tc>
          <w:tcPr>
            <w:tcW w:type="dxa" w:w="1083"/>
            <w:vAlign w:val="center"/>
          </w:tcPr>
          <w:p>
            <w:r>
              <w:rPr>
                <w:sz w:val="16"/>
              </w:rPr>
              <w:t>0.026</w:t>
            </w:r>
          </w:p>
        </w:tc>
        <w:tc>
          <w:tcPr>
            <w:tcW w:type="dxa" w:w="1083"/>
            <w:vAlign w:val="center"/>
          </w:tcPr>
          <w:p>
            <w:r>
              <w:rPr>
                <w:sz w:val="16"/>
              </w:rPr>
              <w:t>0.011 to 0.042</w:t>
            </w:r>
          </w:p>
        </w:tc>
        <w:tc>
          <w:tcPr>
            <w:tcW w:type="dxa" w:w="1083"/>
            <w:vAlign w:val="center"/>
          </w:tcPr>
          <w:p>
            <w:r>
              <w:rPr>
                <w:sz w:val="16"/>
              </w:rPr>
              <w:t>ridge</w:t>
            </w:r>
          </w:p>
        </w:tc>
      </w:tr>
      <w:tr>
        <w:trPr>
          <w:cantSplit/>
        </w:trPr>
        <w:tc>
          <w:tcPr>
            <w:tcW w:type="dxa" w:w="1083"/>
            <w:vAlign w:val="center"/>
          </w:tcPr>
          <w:p>
            <w:r>
              <w:rPr>
                <w:sz w:val="16"/>
              </w:rPr>
              <w:t>cont./fusion</w:t>
            </w:r>
          </w:p>
        </w:tc>
        <w:tc>
          <w:tcPr>
            <w:tcW w:type="dxa" w:w="1083"/>
            <w:vAlign w:val="center"/>
          </w:tcPr>
          <w:p>
            <w:r>
              <w:rPr>
                <w:sz w:val="16"/>
              </w:rPr>
              <w:t>large/not applicable</w:t>
            </w:r>
          </w:p>
        </w:tc>
        <w:tc>
          <w:tcPr>
            <w:tcW w:type="dxa" w:w="1083"/>
            <w:vAlign w:val="center"/>
          </w:tcPr>
          <w:p>
            <w:r>
              <w:rPr>
                <w:sz w:val="16"/>
              </w:rPr>
              <w:t>LGG–Fusion burden</w:t>
            </w:r>
          </w:p>
        </w:tc>
        <w:tc>
          <w:tcPr>
            <w:tcW w:type="dxa" w:w="1083"/>
            <w:vAlign w:val="center"/>
          </w:tcPr>
          <w:p>
            <w:r>
              <w:rPr>
                <w:sz w:val="16"/>
              </w:rPr>
              <w:t>Spearman</w:t>
            </w:r>
          </w:p>
        </w:tc>
        <w:tc>
          <w:tcPr>
            <w:tcW w:type="dxa" w:w="1083"/>
            <w:vAlign w:val="center"/>
          </w:tcPr>
          <w:p>
            <w:r>
              <w:rPr>
                <w:sz w:val="16"/>
              </w:rPr>
              <w:t>0.488</w:t>
            </w:r>
          </w:p>
        </w:tc>
        <w:tc>
          <w:tcPr>
            <w:tcW w:type="dxa" w:w="1083"/>
            <w:vAlign w:val="center"/>
          </w:tcPr>
          <w:p>
            <w:r>
              <w:rPr>
                <w:sz w:val="16"/>
              </w:rPr>
              <w:t>0.485</w:t>
            </w:r>
          </w:p>
        </w:tc>
        <w:tc>
          <w:tcPr>
            <w:tcW w:type="dxa" w:w="1083"/>
            <w:vAlign w:val="center"/>
          </w:tcPr>
          <w:p>
            <w:r>
              <w:rPr>
                <w:sz w:val="16"/>
              </w:rPr>
              <w:t>-0.003</w:t>
            </w:r>
          </w:p>
        </w:tc>
        <w:tc>
          <w:tcPr>
            <w:tcW w:type="dxa" w:w="1083"/>
            <w:vAlign w:val="center"/>
          </w:tcPr>
          <w:p>
            <w:r>
              <w:rPr>
                <w:sz w:val="16"/>
              </w:rPr>
              <w:t>-0.017 to 0.013</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large/not applicable</w:t>
            </w:r>
          </w:p>
        </w:tc>
        <w:tc>
          <w:tcPr>
            <w:tcW w:type="dxa" w:w="1083"/>
            <w:vAlign w:val="center"/>
          </w:tcPr>
          <w:p>
            <w:r>
              <w:rPr>
                <w:sz w:val="16"/>
              </w:rPr>
              <w:t>STAD–MANTIS score</w:t>
            </w:r>
          </w:p>
        </w:tc>
        <w:tc>
          <w:tcPr>
            <w:tcW w:type="dxa" w:w="1083"/>
            <w:vAlign w:val="center"/>
          </w:tcPr>
          <w:p>
            <w:r>
              <w:rPr>
                <w:sz w:val="16"/>
              </w:rPr>
              <w:t>Spearman</w:t>
            </w:r>
          </w:p>
        </w:tc>
        <w:tc>
          <w:tcPr>
            <w:tcW w:type="dxa" w:w="1083"/>
            <w:vAlign w:val="center"/>
          </w:tcPr>
          <w:p>
            <w:r>
              <w:rPr>
                <w:sz w:val="16"/>
              </w:rPr>
              <w:t>0.300</w:t>
            </w:r>
          </w:p>
        </w:tc>
        <w:tc>
          <w:tcPr>
            <w:tcW w:type="dxa" w:w="1083"/>
            <w:vAlign w:val="center"/>
          </w:tcPr>
          <w:p>
            <w:r>
              <w:rPr>
                <w:sz w:val="16"/>
              </w:rPr>
              <w:t>0.320</w:t>
            </w:r>
          </w:p>
        </w:tc>
        <w:tc>
          <w:tcPr>
            <w:tcW w:type="dxa" w:w="1083"/>
            <w:vAlign w:val="center"/>
          </w:tcPr>
          <w:p>
            <w:r>
              <w:rPr>
                <w:sz w:val="16"/>
              </w:rPr>
              <w:t>0.020</w:t>
            </w:r>
          </w:p>
        </w:tc>
        <w:tc>
          <w:tcPr>
            <w:tcW w:type="dxa" w:w="1083"/>
            <w:vAlign w:val="center"/>
          </w:tcPr>
          <w:p>
            <w:r>
              <w:rPr>
                <w:sz w:val="16"/>
              </w:rPr>
              <w:t>0.002 to 0.038</w:t>
            </w:r>
          </w:p>
        </w:tc>
        <w:tc>
          <w:tcPr>
            <w:tcW w:type="dxa" w:w="1083"/>
            <w:vAlign w:val="center"/>
          </w:tcPr>
          <w:p>
            <w:r>
              <w:rPr>
                <w:sz w:val="16"/>
              </w:rPr>
              <w:t>ridge</w:t>
            </w:r>
          </w:p>
        </w:tc>
      </w:tr>
      <w:tr>
        <w:trPr>
          <w:cantSplit/>
        </w:trPr>
        <w:tc>
          <w:tcPr>
            <w:tcW w:type="dxa" w:w="1083"/>
            <w:vAlign w:val="center"/>
          </w:tcPr>
          <w:p>
            <w:r>
              <w:rPr>
                <w:sz w:val="16"/>
              </w:rPr>
              <w:t>cont./aneuploidy</w:t>
            </w:r>
          </w:p>
        </w:tc>
        <w:tc>
          <w:tcPr>
            <w:tcW w:type="dxa" w:w="1083"/>
            <w:vAlign w:val="center"/>
          </w:tcPr>
          <w:p>
            <w:r>
              <w:rPr>
                <w:sz w:val="16"/>
              </w:rPr>
              <w:t>medium/not applicable</w:t>
            </w:r>
          </w:p>
        </w:tc>
        <w:tc>
          <w:tcPr>
            <w:tcW w:type="dxa" w:w="1083"/>
            <w:vAlign w:val="center"/>
          </w:tcPr>
          <w:p>
            <w:r>
              <w:rPr>
                <w:sz w:val="16"/>
              </w:rPr>
              <w:t>STAD–Deleted arm count</w:t>
            </w:r>
          </w:p>
        </w:tc>
        <w:tc>
          <w:tcPr>
            <w:tcW w:type="dxa" w:w="1083"/>
            <w:vAlign w:val="center"/>
          </w:tcPr>
          <w:p>
            <w:r>
              <w:rPr>
                <w:sz w:val="16"/>
              </w:rPr>
              <w:t>Spearman</w:t>
            </w:r>
          </w:p>
        </w:tc>
        <w:tc>
          <w:tcPr>
            <w:tcW w:type="dxa" w:w="1083"/>
            <w:vAlign w:val="center"/>
          </w:tcPr>
          <w:p>
            <w:r>
              <w:rPr>
                <w:sz w:val="16"/>
              </w:rPr>
              <w:t>0.500</w:t>
            </w:r>
          </w:p>
        </w:tc>
        <w:tc>
          <w:tcPr>
            <w:tcW w:type="dxa" w:w="1083"/>
            <w:vAlign w:val="center"/>
          </w:tcPr>
          <w:p>
            <w:r>
              <w:rPr>
                <w:sz w:val="16"/>
              </w:rPr>
              <w:t>0.518</w:t>
            </w:r>
          </w:p>
        </w:tc>
        <w:tc>
          <w:tcPr>
            <w:tcW w:type="dxa" w:w="1083"/>
            <w:vAlign w:val="center"/>
          </w:tcPr>
          <w:p>
            <w:r>
              <w:rPr>
                <w:sz w:val="16"/>
              </w:rPr>
              <w:t>0.019</w:t>
            </w:r>
          </w:p>
        </w:tc>
        <w:tc>
          <w:tcPr>
            <w:tcW w:type="dxa" w:w="1083"/>
            <w:vAlign w:val="center"/>
          </w:tcPr>
          <w:p>
            <w:r>
              <w:rPr>
                <w:sz w:val="16"/>
              </w:rPr>
              <w:t>0.000 to 0.036</w:t>
            </w:r>
          </w:p>
        </w:tc>
        <w:tc>
          <w:tcPr>
            <w:tcW w:type="dxa" w:w="1083"/>
            <w:vAlign w:val="center"/>
          </w:tcPr>
          <w:p>
            <w:r>
              <w:rPr>
                <w:sz w:val="16"/>
              </w:rPr>
              <w:t>ridge</w:t>
            </w:r>
          </w:p>
        </w:tc>
      </w:tr>
      <w:tr>
        <w:trPr>
          <w:cantSplit/>
        </w:trPr>
        <w:tc>
          <w:tcPr>
            <w:tcW w:type="dxa" w:w="1083"/>
            <w:vAlign w:val="center"/>
          </w:tcPr>
          <w:p>
            <w:r>
              <w:rPr>
                <w:sz w:val="16"/>
              </w:rPr>
              <w:t>cont./immune</w:t>
            </w:r>
          </w:p>
        </w:tc>
        <w:tc>
          <w:tcPr>
            <w:tcW w:type="dxa" w:w="1083"/>
            <w:vAlign w:val="center"/>
          </w:tcPr>
          <w:p>
            <w:r>
              <w:rPr>
                <w:sz w:val="16"/>
              </w:rPr>
              <w:t>medium/not applicable</w:t>
            </w:r>
          </w:p>
        </w:tc>
        <w:tc>
          <w:tcPr>
            <w:tcW w:type="dxa" w:w="1083"/>
            <w:vAlign w:val="center"/>
          </w:tcPr>
          <w:p>
            <w:r>
              <w:rPr>
                <w:sz w:val="16"/>
              </w:rPr>
              <w:t>PRAD–Mast Cells Activated</w:t>
            </w:r>
          </w:p>
        </w:tc>
        <w:tc>
          <w:tcPr>
            <w:tcW w:type="dxa" w:w="1083"/>
            <w:vAlign w:val="center"/>
          </w:tcPr>
          <w:p>
            <w:r>
              <w:rPr>
                <w:sz w:val="16"/>
              </w:rPr>
              <w:t>Spearman</w:t>
            </w:r>
          </w:p>
        </w:tc>
        <w:tc>
          <w:tcPr>
            <w:tcW w:type="dxa" w:w="1083"/>
            <w:vAlign w:val="center"/>
          </w:tcPr>
          <w:p>
            <w:r>
              <w:rPr>
                <w:sz w:val="16"/>
              </w:rPr>
              <w:t>0.234</w:t>
            </w:r>
          </w:p>
        </w:tc>
        <w:tc>
          <w:tcPr>
            <w:tcW w:type="dxa" w:w="1083"/>
            <w:vAlign w:val="center"/>
          </w:tcPr>
          <w:p>
            <w:r>
              <w:rPr>
                <w:sz w:val="16"/>
              </w:rPr>
              <w:t>0.277</w:t>
            </w:r>
          </w:p>
        </w:tc>
        <w:tc>
          <w:tcPr>
            <w:tcW w:type="dxa" w:w="1083"/>
            <w:vAlign w:val="center"/>
          </w:tcPr>
          <w:p>
            <w:r>
              <w:rPr>
                <w:sz w:val="16"/>
              </w:rPr>
              <w:t>0.043</w:t>
            </w:r>
          </w:p>
        </w:tc>
        <w:tc>
          <w:tcPr>
            <w:tcW w:type="dxa" w:w="1083"/>
            <w:vAlign w:val="center"/>
          </w:tcPr>
          <w:p>
            <w:r>
              <w:rPr>
                <w:sz w:val="16"/>
              </w:rPr>
              <w:t>-0.013 to 0.100</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medium/not applicable</w:t>
            </w:r>
          </w:p>
        </w:tc>
        <w:tc>
          <w:tcPr>
            <w:tcW w:type="dxa" w:w="1083"/>
            <w:vAlign w:val="center"/>
          </w:tcPr>
          <w:p>
            <w:r>
              <w:rPr>
                <w:sz w:val="16"/>
              </w:rPr>
              <w:t>LIHC–MSIsensor score</w:t>
            </w:r>
          </w:p>
        </w:tc>
        <w:tc>
          <w:tcPr>
            <w:tcW w:type="dxa" w:w="1083"/>
            <w:vAlign w:val="center"/>
          </w:tcPr>
          <w:p>
            <w:r>
              <w:rPr>
                <w:sz w:val="16"/>
              </w:rPr>
              <w:t>Spearman</w:t>
            </w:r>
          </w:p>
        </w:tc>
        <w:tc>
          <w:tcPr>
            <w:tcW w:type="dxa" w:w="1083"/>
            <w:vAlign w:val="center"/>
          </w:tcPr>
          <w:p>
            <w:r>
              <w:rPr>
                <w:sz w:val="16"/>
              </w:rPr>
              <w:t>0.206</w:t>
            </w:r>
          </w:p>
        </w:tc>
        <w:tc>
          <w:tcPr>
            <w:tcW w:type="dxa" w:w="1083"/>
            <w:vAlign w:val="center"/>
          </w:tcPr>
          <w:p>
            <w:r>
              <w:rPr>
                <w:sz w:val="16"/>
              </w:rPr>
              <w:t>0.049</w:t>
            </w:r>
          </w:p>
        </w:tc>
        <w:tc>
          <w:tcPr>
            <w:tcW w:type="dxa" w:w="1083"/>
            <w:vAlign w:val="center"/>
          </w:tcPr>
          <w:p>
            <w:r>
              <w:rPr>
                <w:sz w:val="16"/>
              </w:rPr>
              <w:t>-0.157</w:t>
            </w:r>
          </w:p>
        </w:tc>
        <w:tc>
          <w:tcPr>
            <w:tcW w:type="dxa" w:w="1083"/>
            <w:vAlign w:val="center"/>
          </w:tcPr>
          <w:p>
            <w:r>
              <w:rPr>
                <w:sz w:val="16"/>
              </w:rPr>
              <w:t>-0.227 to -0.083</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medium/not applicable</w:t>
            </w:r>
          </w:p>
        </w:tc>
        <w:tc>
          <w:tcPr>
            <w:tcW w:type="dxa" w:w="1083"/>
            <w:vAlign w:val="center"/>
          </w:tcPr>
          <w:p>
            <w:r>
              <w:rPr>
                <w:sz w:val="16"/>
              </w:rPr>
              <w:t>CESC–Fusion burden</w:t>
            </w:r>
          </w:p>
        </w:tc>
        <w:tc>
          <w:tcPr>
            <w:tcW w:type="dxa" w:w="1083"/>
            <w:vAlign w:val="center"/>
          </w:tcPr>
          <w:p>
            <w:r>
              <w:rPr>
                <w:sz w:val="16"/>
              </w:rPr>
              <w:t>Spearman</w:t>
            </w:r>
          </w:p>
        </w:tc>
        <w:tc>
          <w:tcPr>
            <w:tcW w:type="dxa" w:w="1083"/>
            <w:vAlign w:val="center"/>
          </w:tcPr>
          <w:p>
            <w:r>
              <w:rPr>
                <w:sz w:val="16"/>
              </w:rPr>
              <w:t>0.039</w:t>
            </w:r>
          </w:p>
        </w:tc>
        <w:tc>
          <w:tcPr>
            <w:tcW w:type="dxa" w:w="1083"/>
            <w:vAlign w:val="center"/>
          </w:tcPr>
          <w:p>
            <w:r>
              <w:rPr>
                <w:sz w:val="16"/>
              </w:rPr>
              <w:t>0.023</w:t>
            </w:r>
          </w:p>
        </w:tc>
        <w:tc>
          <w:tcPr>
            <w:tcW w:type="dxa" w:w="1083"/>
            <w:vAlign w:val="center"/>
          </w:tcPr>
          <w:p>
            <w:r>
              <w:rPr>
                <w:sz w:val="16"/>
              </w:rPr>
              <w:t>-0.016</w:t>
            </w:r>
          </w:p>
        </w:tc>
        <w:tc>
          <w:tcPr>
            <w:tcW w:type="dxa" w:w="1083"/>
            <w:vAlign w:val="center"/>
          </w:tcPr>
          <w:p>
            <w:r>
              <w:rPr>
                <w:sz w:val="16"/>
              </w:rPr>
              <w:t>-0.049 to 0.017</w:t>
            </w:r>
          </w:p>
        </w:tc>
        <w:tc>
          <w:tcPr>
            <w:tcW w:type="dxa" w:w="1083"/>
            <w:vAlign w:val="center"/>
          </w:tcPr>
          <w:p>
            <w:r>
              <w:rPr>
                <w:sz w:val="16"/>
              </w:rPr>
              <w:t>uncertain</w:t>
            </w:r>
          </w:p>
        </w:tc>
      </w:tr>
      <w:tr>
        <w:trPr>
          <w:cantSplit/>
        </w:trPr>
        <w:tc>
          <w:tcPr>
            <w:tcW w:type="dxa" w:w="1083"/>
            <w:vAlign w:val="center"/>
          </w:tcPr>
          <w:p>
            <w:r>
              <w:rPr>
                <w:sz w:val="16"/>
              </w:rPr>
              <w:t>cont./aneuploidy</w:t>
            </w:r>
          </w:p>
        </w:tc>
        <w:tc>
          <w:tcPr>
            <w:tcW w:type="dxa" w:w="1083"/>
            <w:vAlign w:val="center"/>
          </w:tcPr>
          <w:p>
            <w:r>
              <w:rPr>
                <w:sz w:val="16"/>
              </w:rPr>
              <w:t>small/not applicable</w:t>
            </w:r>
          </w:p>
        </w:tc>
        <w:tc>
          <w:tcPr>
            <w:tcW w:type="dxa" w:w="1083"/>
            <w:vAlign w:val="center"/>
          </w:tcPr>
          <w:p>
            <w:r>
              <w:rPr>
                <w:sz w:val="16"/>
              </w:rPr>
              <w:t>SKCM–Amplified arm count</w:t>
            </w:r>
          </w:p>
        </w:tc>
        <w:tc>
          <w:tcPr>
            <w:tcW w:type="dxa" w:w="1083"/>
            <w:vAlign w:val="center"/>
          </w:tcPr>
          <w:p>
            <w:r>
              <w:rPr>
                <w:sz w:val="16"/>
              </w:rPr>
              <w:t>Spearman</w:t>
            </w:r>
          </w:p>
        </w:tc>
        <w:tc>
          <w:tcPr>
            <w:tcW w:type="dxa" w:w="1083"/>
            <w:vAlign w:val="center"/>
          </w:tcPr>
          <w:p>
            <w:r>
              <w:rPr>
                <w:sz w:val="16"/>
              </w:rPr>
              <w:t>0.159</w:t>
            </w:r>
          </w:p>
        </w:tc>
        <w:tc>
          <w:tcPr>
            <w:tcW w:type="dxa" w:w="1083"/>
            <w:vAlign w:val="center"/>
          </w:tcPr>
          <w:p>
            <w:r>
              <w:rPr>
                <w:sz w:val="16"/>
              </w:rPr>
              <w:t>0.100</w:t>
            </w:r>
          </w:p>
        </w:tc>
        <w:tc>
          <w:tcPr>
            <w:tcW w:type="dxa" w:w="1083"/>
            <w:vAlign w:val="center"/>
          </w:tcPr>
          <w:p>
            <w:r>
              <w:rPr>
                <w:sz w:val="16"/>
              </w:rPr>
              <w:t>-0.059</w:t>
            </w:r>
          </w:p>
        </w:tc>
        <w:tc>
          <w:tcPr>
            <w:tcW w:type="dxa" w:w="1083"/>
            <w:vAlign w:val="center"/>
          </w:tcPr>
          <w:p>
            <w:r>
              <w:rPr>
                <w:sz w:val="16"/>
              </w:rPr>
              <w:t>-0.129 to 0.011</w:t>
            </w:r>
          </w:p>
        </w:tc>
        <w:tc>
          <w:tcPr>
            <w:tcW w:type="dxa" w:w="1083"/>
            <w:vAlign w:val="center"/>
          </w:tcPr>
          <w:p>
            <w:r>
              <w:rPr>
                <w:sz w:val="16"/>
              </w:rPr>
              <w:t>uncertain</w:t>
            </w:r>
          </w:p>
        </w:tc>
      </w:tr>
      <w:tr>
        <w:trPr>
          <w:cantSplit/>
        </w:trPr>
        <w:tc>
          <w:tcPr>
            <w:tcW w:type="dxa" w:w="1083"/>
            <w:vAlign w:val="center"/>
          </w:tcPr>
          <w:p>
            <w:r>
              <w:rPr>
                <w:sz w:val="16"/>
              </w:rPr>
              <w:t>cont./microsatellite_instability</w:t>
            </w:r>
          </w:p>
        </w:tc>
        <w:tc>
          <w:tcPr>
            <w:tcW w:type="dxa" w:w="1083"/>
            <w:vAlign w:val="center"/>
          </w:tcPr>
          <w:p>
            <w:r>
              <w:rPr>
                <w:sz w:val="16"/>
              </w:rPr>
              <w:t>small/not applicable</w:t>
            </w:r>
          </w:p>
        </w:tc>
        <w:tc>
          <w:tcPr>
            <w:tcW w:type="dxa" w:w="1083"/>
            <w:vAlign w:val="center"/>
          </w:tcPr>
          <w:p>
            <w:r>
              <w:rPr>
                <w:sz w:val="16"/>
              </w:rPr>
              <w:t>MESO–MANTIS score</w:t>
            </w:r>
          </w:p>
        </w:tc>
        <w:tc>
          <w:tcPr>
            <w:tcW w:type="dxa" w:w="1083"/>
            <w:vAlign w:val="center"/>
          </w:tcPr>
          <w:p>
            <w:r>
              <w:rPr>
                <w:sz w:val="16"/>
              </w:rPr>
              <w:t>Spearman</w:t>
            </w:r>
          </w:p>
        </w:tc>
        <w:tc>
          <w:tcPr>
            <w:tcW w:type="dxa" w:w="1083"/>
            <w:vAlign w:val="center"/>
          </w:tcPr>
          <w:p>
            <w:r>
              <w:rPr>
                <w:sz w:val="16"/>
              </w:rPr>
              <w:t>0.050</w:t>
            </w:r>
          </w:p>
        </w:tc>
        <w:tc>
          <w:tcPr>
            <w:tcW w:type="dxa" w:w="1083"/>
            <w:vAlign w:val="center"/>
          </w:tcPr>
          <w:p>
            <w:r>
              <w:rPr>
                <w:sz w:val="16"/>
              </w:rPr>
              <w:t>-0.152</w:t>
            </w:r>
          </w:p>
        </w:tc>
        <w:tc>
          <w:tcPr>
            <w:tcW w:type="dxa" w:w="1083"/>
            <w:vAlign w:val="center"/>
          </w:tcPr>
          <w:p>
            <w:r>
              <w:rPr>
                <w:sz w:val="16"/>
              </w:rPr>
              <w:t>-0.202</w:t>
            </w:r>
          </w:p>
        </w:tc>
        <w:tc>
          <w:tcPr>
            <w:tcW w:type="dxa" w:w="1083"/>
            <w:vAlign w:val="center"/>
          </w:tcPr>
          <w:p>
            <w:r>
              <w:rPr>
                <w:sz w:val="16"/>
              </w:rPr>
              <w:t>-0.348 to -0.056</w:t>
            </w:r>
          </w:p>
        </w:tc>
        <w:tc>
          <w:tcPr>
            <w:tcW w:type="dxa" w:w="1083"/>
            <w:vAlign w:val="center"/>
          </w:tcPr>
          <w:p>
            <w:r>
              <w:rPr>
                <w:sz w:val="16"/>
              </w:rPr>
              <w:t>PLS</w:t>
            </w:r>
          </w:p>
        </w:tc>
      </w:tr>
      <w:tr>
        <w:trPr>
          <w:cantSplit/>
        </w:trPr>
        <w:tc>
          <w:tcPr>
            <w:tcW w:type="dxa" w:w="1083"/>
            <w:vAlign w:val="center"/>
          </w:tcPr>
          <w:p>
            <w:r>
              <w:rPr>
                <w:sz w:val="16"/>
              </w:rPr>
              <w:t>cont./fusion</w:t>
            </w:r>
          </w:p>
        </w:tc>
        <w:tc>
          <w:tcPr>
            <w:tcW w:type="dxa" w:w="1083"/>
            <w:vAlign w:val="center"/>
          </w:tcPr>
          <w:p>
            <w:r>
              <w:rPr>
                <w:sz w:val="16"/>
              </w:rPr>
              <w:t>small/not applicable</w:t>
            </w:r>
          </w:p>
        </w:tc>
        <w:tc>
          <w:tcPr>
            <w:tcW w:type="dxa" w:w="1083"/>
            <w:vAlign w:val="center"/>
          </w:tcPr>
          <w:p>
            <w:r>
              <w:rPr>
                <w:sz w:val="16"/>
              </w:rPr>
              <w:t>MESO–Fusion burden</w:t>
            </w:r>
          </w:p>
        </w:tc>
        <w:tc>
          <w:tcPr>
            <w:tcW w:type="dxa" w:w="1083"/>
            <w:vAlign w:val="center"/>
          </w:tcPr>
          <w:p>
            <w:r>
              <w:rPr>
                <w:sz w:val="16"/>
              </w:rPr>
              <w:t>Spearman</w:t>
            </w:r>
          </w:p>
        </w:tc>
        <w:tc>
          <w:tcPr>
            <w:tcW w:type="dxa" w:w="1083"/>
            <w:vAlign w:val="center"/>
          </w:tcPr>
          <w:p>
            <w:r>
              <w:rPr>
                <w:sz w:val="16"/>
              </w:rPr>
              <w:t>-0.033</w:t>
            </w:r>
          </w:p>
        </w:tc>
        <w:tc>
          <w:tcPr>
            <w:tcW w:type="dxa" w:w="1083"/>
            <w:vAlign w:val="center"/>
          </w:tcPr>
          <w:p>
            <w:r>
              <w:rPr>
                <w:sz w:val="16"/>
              </w:rPr>
              <w:t>-0.127</w:t>
            </w:r>
          </w:p>
        </w:tc>
        <w:tc>
          <w:tcPr>
            <w:tcW w:type="dxa" w:w="1083"/>
            <w:vAlign w:val="center"/>
          </w:tcPr>
          <w:p>
            <w:r>
              <w:rPr>
                <w:sz w:val="16"/>
              </w:rPr>
              <w:t>-0.094</w:t>
            </w:r>
          </w:p>
        </w:tc>
        <w:tc>
          <w:tcPr>
            <w:tcW w:type="dxa" w:w="1083"/>
            <w:vAlign w:val="center"/>
          </w:tcPr>
          <w:p>
            <w:r>
              <w:rPr>
                <w:sz w:val="16"/>
              </w:rPr>
              <w:t>-0.205 to 0.017</w:t>
            </w:r>
          </w:p>
        </w:tc>
        <w:tc>
          <w:tcPr>
            <w:tcW w:type="dxa" w:w="1083"/>
            <w:vAlign w:val="center"/>
          </w:tcPr>
          <w:p>
            <w:r>
              <w:rPr>
                <w:sz w:val="16"/>
              </w:rPr>
              <w:t>uncertain</w:t>
            </w:r>
          </w:p>
        </w:tc>
      </w:tr>
      <w:tr>
        <w:trPr>
          <w:cantSplit/>
        </w:trPr>
        <w:tc>
          <w:tcPr>
            <w:tcW w:type="dxa" w:w="1083"/>
            <w:vAlign w:val="center"/>
          </w:tcPr>
          <w:p>
            <w:r>
              <w:rPr>
                <w:sz w:val="16"/>
              </w:rPr>
              <w:t>cont./immune</w:t>
            </w:r>
          </w:p>
        </w:tc>
        <w:tc>
          <w:tcPr>
            <w:tcW w:type="dxa" w:w="1083"/>
            <w:vAlign w:val="center"/>
          </w:tcPr>
          <w:p>
            <w:r>
              <w:rPr>
                <w:sz w:val="16"/>
              </w:rPr>
              <w:t>small/not applicable</w:t>
            </w:r>
          </w:p>
        </w:tc>
        <w:tc>
          <w:tcPr>
            <w:tcW w:type="dxa" w:w="1083"/>
            <w:vAlign w:val="center"/>
          </w:tcPr>
          <w:p>
            <w:r>
              <w:rPr>
                <w:sz w:val="16"/>
              </w:rPr>
              <w:t>ACC–Plasma Cells</w:t>
            </w:r>
          </w:p>
        </w:tc>
        <w:tc>
          <w:tcPr>
            <w:tcW w:type="dxa" w:w="1083"/>
            <w:vAlign w:val="center"/>
          </w:tcPr>
          <w:p>
            <w:r>
              <w:rPr>
                <w:sz w:val="16"/>
              </w:rPr>
              <w:t>Spearman</w:t>
            </w:r>
          </w:p>
        </w:tc>
        <w:tc>
          <w:tcPr>
            <w:tcW w:type="dxa" w:w="1083"/>
            <w:vAlign w:val="center"/>
          </w:tcPr>
          <w:p>
            <w:r>
              <w:rPr>
                <w:sz w:val="16"/>
              </w:rPr>
              <w:t>-0.075</w:t>
            </w:r>
          </w:p>
        </w:tc>
        <w:tc>
          <w:tcPr>
            <w:tcW w:type="dxa" w:w="1083"/>
            <w:vAlign w:val="center"/>
          </w:tcPr>
          <w:p>
            <w:r>
              <w:rPr>
                <w:sz w:val="16"/>
              </w:rPr>
              <w:t>-0.209</w:t>
            </w:r>
          </w:p>
        </w:tc>
        <w:tc>
          <w:tcPr>
            <w:tcW w:type="dxa" w:w="1083"/>
            <w:vAlign w:val="center"/>
          </w:tcPr>
          <w:p>
            <w:r>
              <w:rPr>
                <w:sz w:val="16"/>
              </w:rPr>
              <w:t>-0.133</w:t>
            </w:r>
          </w:p>
        </w:tc>
        <w:tc>
          <w:tcPr>
            <w:tcW w:type="dxa" w:w="1083"/>
            <w:vAlign w:val="center"/>
          </w:tcPr>
          <w:p>
            <w:r>
              <w:rPr>
                <w:sz w:val="16"/>
              </w:rPr>
              <w:t>-0.394 to 0.110</w:t>
            </w:r>
          </w:p>
        </w:tc>
        <w:tc>
          <w:tcPr>
            <w:tcW w:type="dxa" w:w="1083"/>
            <w:vAlign w:val="center"/>
          </w:tcPr>
          <w:p>
            <w:r>
              <w:rPr>
                <w:sz w:val="16"/>
              </w:rPr>
              <w:t>uncertain</w:t>
            </w:r>
          </w:p>
        </w:tc>
      </w:tr>
    </w:tbl>
    <w:p/>
    <w:p>
      <w:pPr>
        <w:pStyle w:val="Heading1"/>
      </w:pPr>
      <w:r>
        <w:t>Table S10f. Permutation precision and atlas-wide multiplicity sensitivity</w:t>
      </w:r>
    </w:p>
    <w:p>
      <w:pPr>
        <w:pStyle w:val="Caption"/>
      </w:pPr>
      <w:r>
        <w:t>Panel A. Candidate retention under increasingly broad Benjamini–Hochberg sensitivities. The primary candidate definition is within cancer and endpoint family. The atlas-wide column applies one correction to every eligible continuous and binary cancer–endpoint test; it is a sensitivity analysis rather than a replacement of the prespecified local question.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Outcome</w:t>
            </w:r>
          </w:p>
        </w:tc>
        <w:tc>
          <w:tcPr>
            <w:tcW w:type="dxa" w:w="1392"/>
          </w:tcPr>
          <w:p>
            <w:r>
              <w:rPr>
                <w:b/>
                <w:sz w:val="17"/>
              </w:rPr>
              <w:t>Eligible</w:t>
            </w:r>
          </w:p>
        </w:tc>
        <w:tc>
          <w:tcPr>
            <w:tcW w:type="dxa" w:w="1392"/>
          </w:tcPr>
          <w:p>
            <w:r>
              <w:rPr>
                <w:b/>
                <w:sz w:val="17"/>
              </w:rPr>
              <w:t>Screening-threshold eligible</w:t>
            </w:r>
          </w:p>
        </w:tc>
        <w:tc>
          <w:tcPr>
            <w:tcW w:type="dxa" w:w="1392"/>
          </w:tcPr>
          <w:p>
            <w:r>
              <w:rPr>
                <w:b/>
                <w:sz w:val="17"/>
              </w:rPr>
              <w:t>Local candidates</w:t>
            </w:r>
          </w:p>
        </w:tc>
        <w:tc>
          <w:tcPr>
            <w:tcW w:type="dxa" w:w="1392"/>
          </w:tcPr>
          <w:p>
            <w:r>
              <w:rPr>
                <w:b/>
                <w:sz w:val="17"/>
              </w:rPr>
              <w:t>Across-cancer family</w:t>
            </w:r>
          </w:p>
        </w:tc>
        <w:tc>
          <w:tcPr>
            <w:tcW w:type="dxa" w:w="1392"/>
          </w:tcPr>
          <w:p>
            <w:r>
              <w:rPr>
                <w:b/>
                <w:sz w:val="17"/>
              </w:rPr>
              <w:t>Outcome-wide</w:t>
            </w:r>
          </w:p>
        </w:tc>
        <w:tc>
          <w:tcPr>
            <w:tcW w:type="dxa" w:w="1392"/>
          </w:tcPr>
          <w:p>
            <w:r>
              <w:rPr>
                <w:b/>
                <w:sz w:val="17"/>
              </w:rPr>
              <w:t>Atlas-wide</w:t>
            </w:r>
          </w:p>
        </w:tc>
      </w:tr>
      <w:tr>
        <w:trPr>
          <w:cantSplit/>
        </w:trPr>
        <w:tc>
          <w:tcPr>
            <w:tcW w:type="dxa" w:w="1392"/>
            <w:vAlign w:val="center"/>
          </w:tcPr>
          <w:p>
            <w:r>
              <w:rPr>
                <w:sz w:val="16"/>
              </w:rPr>
              <w:t>continuous</w:t>
            </w:r>
          </w:p>
        </w:tc>
        <w:tc>
          <w:tcPr>
            <w:tcW w:type="dxa" w:w="1392"/>
            <w:vAlign w:val="center"/>
          </w:tcPr>
          <w:p>
            <w:r>
              <w:rPr>
                <w:sz w:val="16"/>
              </w:rPr>
              <w:t>1614</w:t>
            </w:r>
          </w:p>
        </w:tc>
        <w:tc>
          <w:tcPr>
            <w:tcW w:type="dxa" w:w="1392"/>
            <w:vAlign w:val="center"/>
          </w:tcPr>
          <w:p>
            <w:r>
              <w:rPr>
                <w:sz w:val="16"/>
              </w:rPr>
              <w:t>221</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c>
          <w:tcPr>
            <w:tcW w:type="dxa" w:w="1392"/>
            <w:vAlign w:val="center"/>
          </w:tcPr>
          <w:p>
            <w:r>
              <w:rPr>
                <w:sz w:val="16"/>
              </w:rPr>
              <w:t>219</w:t>
            </w:r>
          </w:p>
        </w:tc>
      </w:tr>
      <w:tr>
        <w:trPr>
          <w:cantSplit/>
        </w:trPr>
        <w:tc>
          <w:tcPr>
            <w:tcW w:type="dxa" w:w="1392"/>
            <w:vAlign w:val="center"/>
          </w:tcPr>
          <w:p>
            <w:r>
              <w:rPr>
                <w:sz w:val="16"/>
              </w:rPr>
              <w:t>binary</w:t>
            </w:r>
          </w:p>
        </w:tc>
        <w:tc>
          <w:tcPr>
            <w:tcW w:type="dxa" w:w="1392"/>
            <w:vAlign w:val="center"/>
          </w:tcPr>
          <w:p>
            <w:r>
              <w:rPr>
                <w:sz w:val="16"/>
              </w:rPr>
              <w:t>459</w:t>
            </w:r>
          </w:p>
        </w:tc>
        <w:tc>
          <w:tcPr>
            <w:tcW w:type="dxa" w:w="1392"/>
            <w:vAlign w:val="center"/>
          </w:tcPr>
          <w:p>
            <w:r>
              <w:rPr>
                <w:sz w:val="16"/>
              </w:rPr>
              <w:t>107</w:t>
            </w:r>
          </w:p>
        </w:tc>
        <w:tc>
          <w:tcPr>
            <w:tcW w:type="dxa" w:w="1392"/>
            <w:vAlign w:val="center"/>
          </w:tcPr>
          <w:p>
            <w:r>
              <w:rPr>
                <w:sz w:val="16"/>
              </w:rPr>
              <w:t>104</w:t>
            </w:r>
          </w:p>
        </w:tc>
        <w:tc>
          <w:tcPr>
            <w:tcW w:type="dxa" w:w="1392"/>
            <w:vAlign w:val="center"/>
          </w:tcPr>
          <w:p>
            <w:r>
              <w:rPr>
                <w:sz w:val="16"/>
              </w:rPr>
              <w:t>102</w:t>
            </w:r>
          </w:p>
        </w:tc>
        <w:tc>
          <w:tcPr>
            <w:tcW w:type="dxa" w:w="1392"/>
            <w:vAlign w:val="center"/>
          </w:tcPr>
          <w:p>
            <w:r>
              <w:rPr>
                <w:sz w:val="16"/>
              </w:rPr>
              <w:t>102</w:t>
            </w:r>
          </w:p>
        </w:tc>
        <w:tc>
          <w:tcPr>
            <w:tcW w:type="dxa" w:w="1392"/>
            <w:vAlign w:val="center"/>
          </w:tcPr>
          <w:p>
            <w:r>
              <w:rPr>
                <w:sz w:val="16"/>
              </w:rPr>
              <w:t>101</w:t>
            </w:r>
          </w:p>
        </w:tc>
      </w:tr>
      <w:tr>
        <w:trPr>
          <w:cantSplit/>
        </w:trPr>
        <w:tc>
          <w:tcPr>
            <w:tcW w:type="dxa" w:w="1392"/>
            <w:vAlign w:val="center"/>
          </w:tcPr>
          <w:p>
            <w:r>
              <w:rPr>
                <w:sz w:val="16"/>
              </w:rPr>
              <w:t>combined</w:t>
            </w:r>
          </w:p>
        </w:tc>
        <w:tc>
          <w:tcPr>
            <w:tcW w:type="dxa" w:w="1392"/>
            <w:vAlign w:val="center"/>
          </w:tcPr>
          <w:p>
            <w:r>
              <w:rPr>
                <w:sz w:val="16"/>
              </w:rPr>
              <w:t>2073</w:t>
            </w:r>
          </w:p>
        </w:tc>
        <w:tc>
          <w:tcPr>
            <w:tcW w:type="dxa" w:w="1392"/>
            <w:vAlign w:val="center"/>
          </w:tcPr>
          <w:p>
            <w:r>
              <w:rPr>
                <w:sz w:val="16"/>
              </w:rPr>
              <w:t>328</w:t>
            </w:r>
          </w:p>
        </w:tc>
        <w:tc>
          <w:tcPr>
            <w:tcW w:type="dxa" w:w="1392"/>
            <w:vAlign w:val="center"/>
          </w:tcPr>
          <w:p>
            <w:r>
              <w:rPr>
                <w:sz w:val="16"/>
              </w:rPr>
              <w:t>323</w:t>
            </w:r>
          </w:p>
        </w:tc>
        <w:tc>
          <w:tcPr>
            <w:tcW w:type="dxa" w:w="1392"/>
            <w:vAlign w:val="center"/>
          </w:tcPr>
          <w:p>
            <w:r>
              <w:rPr>
                <w:sz w:val="16"/>
              </w:rPr>
              <w:t>321</w:t>
            </w:r>
          </w:p>
        </w:tc>
        <w:tc>
          <w:tcPr>
            <w:tcW w:type="dxa" w:w="1392"/>
            <w:vAlign w:val="center"/>
          </w:tcPr>
          <w:p>
            <w:r>
              <w:rPr>
                <w:sz w:val="16"/>
              </w:rPr>
              <w:t>321</w:t>
            </w:r>
          </w:p>
        </w:tc>
        <w:tc>
          <w:tcPr>
            <w:tcW w:type="dxa" w:w="1392"/>
            <w:vAlign w:val="center"/>
          </w:tcPr>
          <w:p>
            <w:r>
              <w:rPr>
                <w:sz w:val="16"/>
              </w:rPr>
              <w:t>320</w:t>
            </w:r>
          </w:p>
        </w:tc>
      </w:tr>
    </w:tbl>
    <w:p/>
    <w:p>
      <w:pPr>
        <w:pStyle w:val="Caption"/>
      </w:pPr>
      <w:r>
        <w:t>Panel B. Targeted high-resolution refinement. All models reuse the saved first 999 permutations and continue the same deterministic permutation-index sequence to 9,999. Every permutation repeats training-fold centering, inner component selection, outer refitting and held-out prediction. Refined p-values and exact Monte Carlo intervals are precision sensitivities and were not substituted into the primary FDR screen.</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Type</w:t>
            </w:r>
          </w:p>
        </w:tc>
        <w:tc>
          <w:tcPr>
            <w:tcW w:type="dxa" w:w="1218"/>
          </w:tcPr>
          <w:p>
            <w:r>
              <w:rPr>
                <w:b/>
                <w:sz w:val="17"/>
              </w:rPr>
              <w:t>Cancer</w:t>
            </w:r>
          </w:p>
        </w:tc>
        <w:tc>
          <w:tcPr>
            <w:tcW w:type="dxa" w:w="1218"/>
          </w:tcPr>
          <w:p>
            <w:r>
              <w:rPr>
                <w:b/>
                <w:sz w:val="17"/>
              </w:rPr>
              <w:t>Endpoint</w:t>
            </w:r>
          </w:p>
        </w:tc>
        <w:tc>
          <w:tcPr>
            <w:tcW w:type="dxa" w:w="1218"/>
          </w:tcPr>
          <w:p>
            <w:r>
              <w:rPr>
                <w:b/>
                <w:sz w:val="17"/>
              </w:rPr>
              <w:t>b/999</w:t>
            </w:r>
          </w:p>
        </w:tc>
        <w:tc>
          <w:tcPr>
            <w:tcW w:type="dxa" w:w="1218"/>
          </w:tcPr>
          <w:p>
            <w:r>
              <w:rPr>
                <w:b/>
                <w:sz w:val="17"/>
              </w:rPr>
              <w:t>p (999)</w:t>
            </w:r>
          </w:p>
        </w:tc>
        <w:tc>
          <w:tcPr>
            <w:tcW w:type="dxa" w:w="1218"/>
          </w:tcPr>
          <w:p>
            <w:r>
              <w:rPr>
                <w:b/>
                <w:sz w:val="17"/>
              </w:rPr>
              <w:t>b/9,999</w:t>
            </w:r>
          </w:p>
        </w:tc>
        <w:tc>
          <w:tcPr>
            <w:tcW w:type="dxa" w:w="1218"/>
          </w:tcPr>
          <w:p>
            <w:r>
              <w:rPr>
                <w:b/>
                <w:sz w:val="17"/>
              </w:rPr>
              <w:t>p (9,999)</w:t>
            </w:r>
          </w:p>
        </w:tc>
        <w:tc>
          <w:tcPr>
            <w:tcW w:type="dxa" w:w="1218"/>
          </w:tcPr>
          <w:p>
            <w:r>
              <w:rPr>
                <w:b/>
                <w:sz w:val="17"/>
              </w:rPr>
              <w:t>95% MC interval</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bin.</w:t>
            </w:r>
          </w:p>
        </w:tc>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BRCA</w:t>
            </w:r>
          </w:p>
        </w:tc>
        <w:tc>
          <w:tcPr>
            <w:tcW w:type="dxa" w:w="1218"/>
            <w:vAlign w:val="center"/>
          </w:tcPr>
          <w:p>
            <w:r>
              <w:rPr>
                <w:sz w:val="16"/>
              </w:rPr>
              <w:t>Wound Healing</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TGCT</w:t>
            </w:r>
          </w:p>
        </w:tc>
        <w:tc>
          <w:tcPr>
            <w:tcW w:type="dxa" w:w="1218"/>
            <w:vAlign w:val="center"/>
          </w:tcPr>
          <w:p>
            <w:r>
              <w:rPr>
                <w:sz w:val="16"/>
              </w:rPr>
              <w:t>TGF-beta Response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THCA</w:t>
            </w:r>
          </w:p>
        </w:tc>
        <w:tc>
          <w:tcPr>
            <w:tcW w:type="dxa" w:w="1218"/>
            <w:vAlign w:val="center"/>
          </w:tcPr>
          <w:p>
            <w:r>
              <w:rPr>
                <w:sz w:val="16"/>
              </w:rPr>
              <w:t>Lymphocyte Infiltration Signature Score</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r>
        <w:trPr>
          <w:cantSplit/>
        </w:trPr>
        <w:tc>
          <w:tcPr>
            <w:tcW w:type="dxa" w:w="1218"/>
            <w:vAlign w:val="center"/>
          </w:tcPr>
          <w:p>
            <w:r>
              <w:rPr>
                <w:sz w:val="16"/>
              </w:rPr>
              <w:t>cont.</w:t>
            </w:r>
          </w:p>
        </w:tc>
        <w:tc>
          <w:tcPr>
            <w:tcW w:type="dxa" w:w="1218"/>
            <w:vAlign w:val="center"/>
          </w:tcPr>
          <w:p>
            <w:r>
              <w:rPr>
                <w:sz w:val="16"/>
              </w:rPr>
              <w:t>THYM</w:t>
            </w:r>
          </w:p>
        </w:tc>
        <w:tc>
          <w:tcPr>
            <w:tcW w:type="dxa" w:w="1218"/>
            <w:vAlign w:val="center"/>
          </w:tcPr>
          <w:p>
            <w:r>
              <w:rPr>
                <w:sz w:val="16"/>
              </w:rPr>
              <w:t>Th17 Cells</w:t>
            </w:r>
          </w:p>
        </w:tc>
        <w:tc>
          <w:tcPr>
            <w:tcW w:type="dxa" w:w="1218"/>
            <w:vAlign w:val="center"/>
          </w:tcPr>
          <w:p>
            <w:r>
              <w:rPr>
                <w:sz w:val="16"/>
              </w:rPr>
              <w:t>0</w:t>
            </w:r>
          </w:p>
        </w:tc>
        <w:tc>
          <w:tcPr>
            <w:tcW w:type="dxa" w:w="1218"/>
            <w:vAlign w:val="center"/>
          </w:tcPr>
          <w:p>
            <w:r>
              <w:rPr>
                <w:sz w:val="16"/>
              </w:rPr>
              <w:t>0.0010</w:t>
            </w:r>
          </w:p>
        </w:tc>
        <w:tc>
          <w:tcPr>
            <w:tcW w:type="dxa" w:w="1218"/>
            <w:vAlign w:val="center"/>
          </w:tcPr>
          <w:p>
            <w:r>
              <w:rPr>
                <w:sz w:val="16"/>
              </w:rPr>
              <w:t>0</w:t>
            </w:r>
          </w:p>
        </w:tc>
        <w:tc>
          <w:tcPr>
            <w:tcW w:type="dxa" w:w="1218"/>
            <w:vAlign w:val="center"/>
          </w:tcPr>
          <w:p>
            <w:r>
              <w:rPr>
                <w:sz w:val="16"/>
              </w:rPr>
              <w:t>0.0001</w:t>
            </w:r>
          </w:p>
        </w:tc>
        <w:tc>
          <w:tcPr>
            <w:tcW w:type="dxa" w:w="1218"/>
            <w:vAlign w:val="center"/>
          </w:tcPr>
          <w:p>
            <w:r>
              <w:rPr>
                <w:sz w:val="16"/>
              </w:rPr>
              <w:t>0.000000 to 0.000369</w:t>
            </w:r>
          </w:p>
        </w:tc>
      </w:tr>
    </w:tbl>
    <w:p>
      <w:pPr>
        <w:sectPr>
          <w:headerReference w:type="default" r:id="rId9"/>
          <w:footerReference w:type="default" r:id="rId10"/>
          <w:pgSz w:w="12240" w:h="15840"/>
          <w:pgMar w:top="1134" w:right="1247" w:bottom="1134" w:left="1247" w:header="720" w:footer="720" w:gutter="0"/>
          <w:cols w:space="720"/>
          <w:docGrid w:linePitch="360"/>
          <w:lnNumType w:countBy="1" w:restart="continuous"/>
        </w:sectPr>
      </w:pPr>
    </w:p>
    <w:p>
      <w:pPr>
        <w:pStyle w:val="Heading1"/>
      </w:pPr>
      <w:r>
        <w:t>Table S10g. Binary class-size sensitivity and development reliability</w:t>
      </w:r>
    </w:p>
    <w:p>
      <w:pPr>
        <w:pStyle w:val="Caption"/>
      </w:pPr>
      <w:r>
        <w:t>Panel A. Eligibility and screen-positive retention. The 20-per-class row is the prespecified inclusive atlas screen; the 50-per-class row defines standard internal evidence and default inference eligibility.</w:t>
      </w:r>
    </w:p>
    <w:tbl>
      <w:tblPr>
        <w:tblStyle w:val="TableGrid"/>
        <w:tblW w:type="auto" w:w="0"/>
        <w:jc w:val="center"/>
        <w:tblLook w:firstColumn="1" w:firstRow="1" w:lastColumn="0" w:lastRow="0" w:noHBand="0" w:noVBand="1" w:val="04A0"/>
      </w:tblPr>
      <w:tblGrid>
        <w:gridCol w:w="2523"/>
        <w:gridCol w:w="2523"/>
        <w:gridCol w:w="2523"/>
        <w:gridCol w:w="2523"/>
        <w:gridCol w:w="2523"/>
        <w:gridCol w:w="2523"/>
      </w:tblGrid>
      <w:tr>
        <w:trPr>
          <w:tblHeader w:val="true"/>
          <w:cantSplit/>
        </w:trPr>
        <w:tc>
          <w:tcPr>
            <w:tcW w:type="dxa" w:w="1247"/>
          </w:tcPr>
          <w:p>
            <w:r>
              <w:rPr>
                <w:b/>
                <w:sz w:val="17"/>
              </w:rPr>
              <w:t>Minimum/class</w:t>
            </w:r>
          </w:p>
        </w:tc>
        <w:tc>
          <w:tcPr>
            <w:tcW w:type="dxa" w:w="1701"/>
          </w:tcPr>
          <w:p>
            <w:r>
              <w:rPr>
                <w:b/>
                <w:sz w:val="17"/>
              </w:rPr>
              <w:t>Eligible binary pairs</w:t>
            </w:r>
          </w:p>
        </w:tc>
        <w:tc>
          <w:tcPr>
            <w:tcW w:type="dxa" w:w="1814"/>
          </w:tcPr>
          <w:p>
            <w:r>
              <w:rPr>
                <w:b/>
                <w:sz w:val="17"/>
              </w:rPr>
              <w:t>Screen-positive models</w:t>
            </w:r>
          </w:p>
        </w:tc>
        <w:tc>
          <w:tcPr>
            <w:tcW w:type="dxa" w:w="1531"/>
          </w:tcPr>
          <w:p>
            <w:r>
              <w:rPr>
                <w:b/>
                <w:sz w:val="17"/>
              </w:rPr>
              <w:t>Eligible retention</w:t>
            </w:r>
          </w:p>
        </w:tc>
        <w:tc>
          <w:tcPr>
            <w:tcW w:type="dxa" w:w="1531"/>
          </w:tcPr>
          <w:p>
            <w:r>
              <w:rPr>
                <w:b/>
                <w:sz w:val="17"/>
              </w:rPr>
              <w:t>Candidate retention</w:t>
            </w:r>
          </w:p>
        </w:tc>
        <w:tc>
          <w:tcPr>
            <w:tcW w:type="dxa" w:w="5102"/>
          </w:tcPr>
          <w:p>
            <w:r>
              <w:rPr>
                <w:b/>
                <w:sz w:val="17"/>
              </w:rPr>
              <w:t>Interpretation</w:t>
            </w:r>
          </w:p>
        </w:tc>
      </w:tr>
      <w:tr>
        <w:trPr>
          <w:cantSplit/>
        </w:trPr>
        <w:tc>
          <w:tcPr>
            <w:tcW w:type="dxa" w:w="1247"/>
            <w:vAlign w:val="center"/>
          </w:tcPr>
          <w:p>
            <w:r>
              <w:rPr>
                <w:sz w:val="16"/>
              </w:rPr>
              <w:t>20</w:t>
            </w:r>
          </w:p>
        </w:tc>
        <w:tc>
          <w:tcPr>
            <w:tcW w:type="dxa" w:w="1701"/>
            <w:vAlign w:val="center"/>
          </w:tcPr>
          <w:p>
            <w:r>
              <w:rPr>
                <w:sz w:val="16"/>
              </w:rPr>
              <w:t>459</w:t>
            </w:r>
          </w:p>
        </w:tc>
        <w:tc>
          <w:tcPr>
            <w:tcW w:type="dxa" w:w="1814"/>
            <w:vAlign w:val="center"/>
          </w:tcPr>
          <w:p>
            <w:r>
              <w:rPr>
                <w:sz w:val="16"/>
              </w:rPr>
              <w:t>104</w:t>
            </w:r>
          </w:p>
        </w:tc>
        <w:tc>
          <w:tcPr>
            <w:tcW w:type="dxa" w:w="1531"/>
            <w:vAlign w:val="center"/>
          </w:tcPr>
          <w:p>
            <w:r>
              <w:rPr>
                <w:sz w:val="16"/>
              </w:rPr>
              <w:t>100.0%</w:t>
            </w:r>
          </w:p>
        </w:tc>
        <w:tc>
          <w:tcPr>
            <w:tcW w:type="dxa" w:w="1531"/>
            <w:vAlign w:val="center"/>
          </w:tcPr>
          <w:p>
            <w:r>
              <w:rPr>
                <w:sz w:val="16"/>
              </w:rPr>
              <w:t>100.0%</w:t>
            </w:r>
          </w:p>
        </w:tc>
        <w:tc>
          <w:tcPr>
            <w:tcW w:type="dxa" w:w="5102"/>
            <w:vAlign w:val="center"/>
          </w:tcPr>
          <w:p>
            <w:r>
              <w:rPr>
                <w:sz w:val="16"/>
              </w:rPr>
              <w:t>Prespecified atlas eligibility; models below 50 per class are exploratory</w:t>
            </w:r>
          </w:p>
        </w:tc>
      </w:tr>
      <w:tr>
        <w:trPr>
          <w:cantSplit/>
        </w:trPr>
        <w:tc>
          <w:tcPr>
            <w:tcW w:type="dxa" w:w="1247"/>
            <w:vAlign w:val="center"/>
          </w:tcPr>
          <w:p>
            <w:r>
              <w:rPr>
                <w:sz w:val="16"/>
              </w:rPr>
              <w:t>50</w:t>
            </w:r>
          </w:p>
        </w:tc>
        <w:tc>
          <w:tcPr>
            <w:tcW w:type="dxa" w:w="1701"/>
            <w:vAlign w:val="center"/>
          </w:tcPr>
          <w:p>
            <w:r>
              <w:rPr>
                <w:sz w:val="16"/>
              </w:rPr>
              <w:t>244</w:t>
            </w:r>
          </w:p>
        </w:tc>
        <w:tc>
          <w:tcPr>
            <w:tcW w:type="dxa" w:w="1814"/>
            <w:vAlign w:val="center"/>
          </w:tcPr>
          <w:p>
            <w:r>
              <w:rPr>
                <w:sz w:val="16"/>
              </w:rPr>
              <w:t>87</w:t>
            </w:r>
          </w:p>
        </w:tc>
        <w:tc>
          <w:tcPr>
            <w:tcW w:type="dxa" w:w="1531"/>
            <w:vAlign w:val="center"/>
          </w:tcPr>
          <w:p>
            <w:r>
              <w:rPr>
                <w:sz w:val="16"/>
              </w:rPr>
              <w:t>53.2%</w:t>
            </w:r>
          </w:p>
        </w:tc>
        <w:tc>
          <w:tcPr>
            <w:tcW w:type="dxa" w:w="1531"/>
            <w:vAlign w:val="center"/>
          </w:tcPr>
          <w:p>
            <w:r>
              <w:rPr>
                <w:sz w:val="16"/>
              </w:rPr>
              <w:t>83.7%</w:t>
            </w:r>
          </w:p>
        </w:tc>
        <w:tc>
          <w:tcPr>
            <w:tcW w:type="dxa" w:w="5102"/>
            <w:vAlign w:val="center"/>
          </w:tcPr>
          <w:p>
            <w:r>
              <w:rPr>
                <w:sz w:val="16"/>
              </w:rPr>
              <w:t>Sensitivity threshold and default inference-package eligibility</w:t>
            </w:r>
          </w:p>
        </w:tc>
      </w:tr>
    </w:tbl>
    <w:p/>
    <w:p>
      <w:pPr>
        <w:pStyle w:val="Caption"/>
      </w:pPr>
      <w:r>
        <w:t>Panel B. All 17 exploratory/limited-evidence screen-positive binary models. PR-AUC is average precision; PPV and NPV are conditional on the observed endpoint prevalence in TCGA.</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rPr>
          <w:tblHeader w:val="true"/>
          <w:cantSplit/>
        </w:trPr>
        <w:tc>
          <w:tcPr>
            <w:tcW w:type="dxa" w:w="907"/>
          </w:tcPr>
          <w:p>
            <w:r>
              <w:rPr>
                <w:b/>
                <w:sz w:val="17"/>
              </w:rPr>
              <w:t>Cancer</w:t>
            </w:r>
          </w:p>
        </w:tc>
        <w:tc>
          <w:tcPr>
            <w:tcW w:type="dxa" w:w="2835"/>
          </w:tcPr>
          <w:p>
            <w:r>
              <w:rPr>
                <w:b/>
                <w:sz w:val="17"/>
              </w:rPr>
              <w:t>Endpoint</w:t>
            </w:r>
          </w:p>
        </w:tc>
        <w:tc>
          <w:tcPr>
            <w:tcW w:type="dxa" w:w="964"/>
          </w:tcPr>
          <w:p>
            <w:r>
              <w:rPr>
                <w:b/>
                <w:sz w:val="17"/>
              </w:rPr>
              <w:t>+/−</w:t>
            </w:r>
          </w:p>
        </w:tc>
        <w:tc>
          <w:tcPr>
            <w:tcW w:type="dxa" w:w="850"/>
          </w:tcPr>
          <w:p>
            <w:r>
              <w:rPr>
                <w:b/>
                <w:sz w:val="17"/>
              </w:rPr>
              <w:t>BA</w:t>
            </w:r>
          </w:p>
        </w:tc>
        <w:tc>
          <w:tcPr>
            <w:tcW w:type="dxa" w:w="964"/>
          </w:tcPr>
          <w:p>
            <w:r>
              <w:rPr>
                <w:b/>
                <w:sz w:val="17"/>
              </w:rPr>
              <w:t>AUROC</w:t>
            </w:r>
          </w:p>
        </w:tc>
        <w:tc>
          <w:tcPr>
            <w:tcW w:type="dxa" w:w="964"/>
          </w:tcPr>
          <w:p>
            <w:r>
              <w:rPr>
                <w:b/>
                <w:sz w:val="17"/>
              </w:rPr>
              <w:t>PR-AUC</w:t>
            </w:r>
          </w:p>
        </w:tc>
        <w:tc>
          <w:tcPr>
            <w:tcW w:type="dxa" w:w="850"/>
          </w:tcPr>
          <w:p>
            <w:r>
              <w:rPr>
                <w:b/>
                <w:sz w:val="17"/>
              </w:rPr>
              <w:t>PPV</w:t>
            </w:r>
          </w:p>
        </w:tc>
        <w:tc>
          <w:tcPr>
            <w:tcW w:type="dxa" w:w="850"/>
          </w:tcPr>
          <w:p>
            <w:r>
              <w:rPr>
                <w:b/>
                <w:sz w:val="17"/>
              </w:rPr>
              <w:t>NPV</w:t>
            </w:r>
          </w:p>
        </w:tc>
        <w:tc>
          <w:tcPr>
            <w:tcW w:type="dxa" w:w="1361"/>
          </w:tcPr>
          <w:p>
            <w:r>
              <w:rPr>
                <w:b/>
                <w:sz w:val="17"/>
              </w:rPr>
              <w:t>Min outer +/−</w:t>
            </w:r>
          </w:p>
        </w:tc>
        <w:tc>
          <w:tcPr>
            <w:tcW w:type="dxa" w:w="1531"/>
          </w:tcPr>
          <w:p>
            <w:r>
              <w:rPr>
                <w:b/>
                <w:sz w:val="17"/>
              </w:rPr>
              <w:t>Evidence/default</w:t>
            </w:r>
          </w:p>
        </w:tc>
      </w:tr>
      <w:tr>
        <w:trPr>
          <w:cantSplit/>
        </w:trPr>
        <w:tc>
          <w:tcPr>
            <w:tcW w:type="dxa" w:w="907"/>
            <w:vAlign w:val="center"/>
          </w:tcPr>
          <w:p>
            <w:r>
              <w:rPr>
                <w:sz w:val="16"/>
              </w:rPr>
              <w:t>OV</w:t>
            </w:r>
          </w:p>
        </w:tc>
        <w:tc>
          <w:tcPr>
            <w:tcW w:type="dxa" w:w="2835"/>
            <w:vAlign w:val="center"/>
          </w:tcPr>
          <w:p>
            <w:r>
              <w:rPr>
                <w:sz w:val="16"/>
              </w:rPr>
              <w:t>Genome doubling</w:t>
            </w:r>
          </w:p>
        </w:tc>
        <w:tc>
          <w:tcPr>
            <w:tcW w:type="dxa" w:w="964"/>
            <w:vAlign w:val="center"/>
          </w:tcPr>
          <w:p>
            <w:r>
              <w:rPr>
                <w:sz w:val="16"/>
              </w:rPr>
              <w:t>66/30</w:t>
            </w:r>
          </w:p>
        </w:tc>
        <w:tc>
          <w:tcPr>
            <w:tcW w:type="dxa" w:w="850"/>
            <w:vAlign w:val="center"/>
          </w:tcPr>
          <w:p>
            <w:r>
              <w:rPr>
                <w:sz w:val="16"/>
              </w:rPr>
              <w:t>0.643</w:t>
            </w:r>
          </w:p>
        </w:tc>
        <w:tc>
          <w:tcPr>
            <w:tcW w:type="dxa" w:w="964"/>
            <w:vAlign w:val="center"/>
          </w:tcPr>
          <w:p>
            <w:r>
              <w:rPr>
                <w:sz w:val="16"/>
              </w:rPr>
              <w:t>0.717</w:t>
            </w:r>
          </w:p>
        </w:tc>
        <w:tc>
          <w:tcPr>
            <w:tcW w:type="dxa" w:w="964"/>
            <w:vAlign w:val="center"/>
          </w:tcPr>
          <w:p>
            <w:r>
              <w:rPr>
                <w:sz w:val="16"/>
              </w:rPr>
              <w:t>0.841</w:t>
            </w:r>
          </w:p>
        </w:tc>
        <w:tc>
          <w:tcPr>
            <w:tcW w:type="dxa" w:w="850"/>
            <w:vAlign w:val="center"/>
          </w:tcPr>
          <w:p>
            <w:r>
              <w:rPr>
                <w:sz w:val="16"/>
              </w:rPr>
              <w:t>0.780</w:t>
            </w:r>
          </w:p>
        </w:tc>
        <w:tc>
          <w:tcPr>
            <w:tcW w:type="dxa" w:w="850"/>
            <w:vAlign w:val="center"/>
          </w:tcPr>
          <w:p>
            <w:r>
              <w:rPr>
                <w:sz w:val="16"/>
              </w:rPr>
              <w:t>0.501</w:t>
            </w:r>
          </w:p>
        </w:tc>
        <w:tc>
          <w:tcPr>
            <w:tcW w:type="dxa" w:w="1361"/>
            <w:vAlign w:val="center"/>
          </w:tcPr>
          <w:p>
            <w:r>
              <w:rPr>
                <w:sz w:val="16"/>
              </w:rPr>
              <w:t>13/6</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Genome doubling</w:t>
            </w:r>
          </w:p>
        </w:tc>
        <w:tc>
          <w:tcPr>
            <w:tcW w:type="dxa" w:w="964"/>
            <w:vAlign w:val="center"/>
          </w:tcPr>
          <w:p>
            <w:r>
              <w:rPr>
                <w:sz w:val="16"/>
              </w:rPr>
              <w:t>24/133</w:t>
            </w:r>
          </w:p>
        </w:tc>
        <w:tc>
          <w:tcPr>
            <w:tcW w:type="dxa" w:w="850"/>
            <w:vAlign w:val="center"/>
          </w:tcPr>
          <w:p>
            <w:r>
              <w:rPr>
                <w:sz w:val="16"/>
              </w:rPr>
              <w:t>0.635</w:t>
            </w:r>
          </w:p>
        </w:tc>
        <w:tc>
          <w:tcPr>
            <w:tcW w:type="dxa" w:w="964"/>
            <w:vAlign w:val="center"/>
          </w:tcPr>
          <w:p>
            <w:r>
              <w:rPr>
                <w:sz w:val="16"/>
              </w:rPr>
              <w:t>0.721</w:t>
            </w:r>
          </w:p>
        </w:tc>
        <w:tc>
          <w:tcPr>
            <w:tcW w:type="dxa" w:w="964"/>
            <w:vAlign w:val="center"/>
          </w:tcPr>
          <w:p>
            <w:r>
              <w:rPr>
                <w:sz w:val="16"/>
              </w:rPr>
              <w:t>0.330</w:t>
            </w:r>
          </w:p>
        </w:tc>
        <w:tc>
          <w:tcPr>
            <w:tcW w:type="dxa" w:w="850"/>
            <w:vAlign w:val="center"/>
          </w:tcPr>
          <w:p>
            <w:r>
              <w:rPr>
                <w:sz w:val="16"/>
              </w:rPr>
              <w:t>0.389</w:t>
            </w:r>
          </w:p>
        </w:tc>
        <w:tc>
          <w:tcPr>
            <w:tcW w:type="dxa" w:w="850"/>
            <w:vAlign w:val="center"/>
          </w:tcPr>
          <w:p>
            <w:r>
              <w:rPr>
                <w:sz w:val="16"/>
              </w:rPr>
              <w:t>0.888</w:t>
            </w:r>
          </w:p>
        </w:tc>
        <w:tc>
          <w:tcPr>
            <w:tcW w:type="dxa" w:w="1361"/>
            <w:vAlign w:val="center"/>
          </w:tcPr>
          <w:p>
            <w:r>
              <w:rPr>
                <w:sz w:val="16"/>
              </w:rPr>
              <w:t>4/26</w:t>
            </w:r>
          </w:p>
        </w:tc>
        <w:tc>
          <w:tcPr>
            <w:tcW w:type="dxa" w:w="1531"/>
            <w:vAlign w:val="center"/>
          </w:tcPr>
          <w:p>
            <w:r>
              <w:rPr>
                <w:sz w:val="16"/>
              </w:rPr>
              <w:t>limited; excluded</w:t>
            </w:r>
          </w:p>
        </w:tc>
      </w:tr>
      <w:tr>
        <w:trPr>
          <w:cantSplit/>
        </w:trPr>
        <w:tc>
          <w:tcPr>
            <w:tcW w:type="dxa" w:w="907"/>
            <w:vAlign w:val="center"/>
          </w:tcPr>
          <w:p>
            <w:r>
              <w:rPr>
                <w:sz w:val="16"/>
              </w:rPr>
              <w:t>CESC</w:t>
            </w:r>
          </w:p>
        </w:tc>
        <w:tc>
          <w:tcPr>
            <w:tcW w:type="dxa" w:w="2835"/>
            <w:vAlign w:val="center"/>
          </w:tcPr>
          <w:p>
            <w:r>
              <w:rPr>
                <w:sz w:val="16"/>
              </w:rPr>
              <w:t>TP53</w:t>
            </w:r>
          </w:p>
        </w:tc>
        <w:tc>
          <w:tcPr>
            <w:tcW w:type="dxa" w:w="964"/>
            <w:vAlign w:val="center"/>
          </w:tcPr>
          <w:p>
            <w:r>
              <w:rPr>
                <w:sz w:val="16"/>
              </w:rPr>
              <w:t>21/231</w:t>
            </w:r>
          </w:p>
        </w:tc>
        <w:tc>
          <w:tcPr>
            <w:tcW w:type="dxa" w:w="850"/>
            <w:vAlign w:val="center"/>
          </w:tcPr>
          <w:p>
            <w:r>
              <w:rPr>
                <w:sz w:val="16"/>
              </w:rPr>
              <w:t>0.612</w:t>
            </w:r>
          </w:p>
        </w:tc>
        <w:tc>
          <w:tcPr>
            <w:tcW w:type="dxa" w:w="964"/>
            <w:vAlign w:val="center"/>
          </w:tcPr>
          <w:p>
            <w:r>
              <w:rPr>
                <w:sz w:val="16"/>
              </w:rPr>
              <w:t>0.712</w:t>
            </w:r>
          </w:p>
        </w:tc>
        <w:tc>
          <w:tcPr>
            <w:tcW w:type="dxa" w:w="964"/>
            <w:vAlign w:val="center"/>
          </w:tcPr>
          <w:p>
            <w:r>
              <w:rPr>
                <w:sz w:val="16"/>
              </w:rPr>
              <w:t>0.285</w:t>
            </w:r>
          </w:p>
        </w:tc>
        <w:tc>
          <w:tcPr>
            <w:tcW w:type="dxa" w:w="850"/>
            <w:vAlign w:val="center"/>
          </w:tcPr>
          <w:p>
            <w:r>
              <w:rPr>
                <w:sz w:val="16"/>
              </w:rPr>
              <w:t>0.377</w:t>
            </w:r>
          </w:p>
        </w:tc>
        <w:tc>
          <w:tcPr>
            <w:tcW w:type="dxa" w:w="850"/>
            <w:vAlign w:val="center"/>
          </w:tcPr>
          <w:p>
            <w:r>
              <w:rPr>
                <w:sz w:val="16"/>
              </w:rPr>
              <w:t>0.935</w:t>
            </w:r>
          </w:p>
        </w:tc>
        <w:tc>
          <w:tcPr>
            <w:tcW w:type="dxa" w:w="1361"/>
            <w:vAlign w:val="center"/>
          </w:tcPr>
          <w:p>
            <w:r>
              <w:rPr>
                <w:sz w:val="16"/>
              </w:rPr>
              <w:t>4/46</w:t>
            </w:r>
          </w:p>
        </w:tc>
        <w:tc>
          <w:tcPr>
            <w:tcW w:type="dxa" w:w="1531"/>
            <w:vAlign w:val="center"/>
          </w:tcPr>
          <w:p>
            <w:r>
              <w:rPr>
                <w:sz w:val="16"/>
              </w:rPr>
              <w:t>limited; excluded</w:t>
            </w:r>
          </w:p>
        </w:tc>
      </w:tr>
      <w:tr>
        <w:trPr>
          <w:cantSplit/>
        </w:trPr>
        <w:tc>
          <w:tcPr>
            <w:tcW w:type="dxa" w:w="907"/>
            <w:vAlign w:val="center"/>
          </w:tcPr>
          <w:p>
            <w:r>
              <w:rPr>
                <w:sz w:val="16"/>
              </w:rPr>
              <w:t>COAD</w:t>
            </w:r>
          </w:p>
        </w:tc>
        <w:tc>
          <w:tcPr>
            <w:tcW w:type="dxa" w:w="2835"/>
            <w:vAlign w:val="center"/>
          </w:tcPr>
          <w:p>
            <w:r>
              <w:rPr>
                <w:sz w:val="16"/>
              </w:rPr>
              <w:t>BRAF</w:t>
            </w:r>
          </w:p>
        </w:tc>
        <w:tc>
          <w:tcPr>
            <w:tcW w:type="dxa" w:w="964"/>
            <w:vAlign w:val="center"/>
          </w:tcPr>
          <w:p>
            <w:r>
              <w:rPr>
                <w:sz w:val="16"/>
              </w:rPr>
              <w:t>44/338</w:t>
            </w:r>
          </w:p>
        </w:tc>
        <w:tc>
          <w:tcPr>
            <w:tcW w:type="dxa" w:w="850"/>
            <w:vAlign w:val="center"/>
          </w:tcPr>
          <w:p>
            <w:r>
              <w:rPr>
                <w:sz w:val="16"/>
              </w:rPr>
              <w:t>0.615</w:t>
            </w:r>
          </w:p>
        </w:tc>
        <w:tc>
          <w:tcPr>
            <w:tcW w:type="dxa" w:w="964"/>
            <w:vAlign w:val="center"/>
          </w:tcPr>
          <w:p>
            <w:r>
              <w:rPr>
                <w:sz w:val="16"/>
              </w:rPr>
              <w:t>0.777</w:t>
            </w:r>
          </w:p>
        </w:tc>
        <w:tc>
          <w:tcPr>
            <w:tcW w:type="dxa" w:w="964"/>
            <w:vAlign w:val="center"/>
          </w:tcPr>
          <w:p>
            <w:r>
              <w:rPr>
                <w:sz w:val="16"/>
              </w:rPr>
              <w:t>0.347</w:t>
            </w:r>
          </w:p>
        </w:tc>
        <w:tc>
          <w:tcPr>
            <w:tcW w:type="dxa" w:w="850"/>
            <w:vAlign w:val="center"/>
          </w:tcPr>
          <w:p>
            <w:r>
              <w:rPr>
                <w:sz w:val="16"/>
              </w:rPr>
              <w:t>0.369</w:t>
            </w:r>
          </w:p>
        </w:tc>
        <w:tc>
          <w:tcPr>
            <w:tcW w:type="dxa" w:w="850"/>
            <w:vAlign w:val="center"/>
          </w:tcPr>
          <w:p>
            <w:r>
              <w:rPr>
                <w:sz w:val="16"/>
              </w:rPr>
              <w:t>0.911</w:t>
            </w:r>
          </w:p>
        </w:tc>
        <w:tc>
          <w:tcPr>
            <w:tcW w:type="dxa" w:w="1361"/>
            <w:vAlign w:val="center"/>
          </w:tcPr>
          <w:p>
            <w:r>
              <w:rPr>
                <w:sz w:val="16"/>
              </w:rPr>
              <w:t>8/67</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EGFR</w:t>
            </w:r>
          </w:p>
        </w:tc>
        <w:tc>
          <w:tcPr>
            <w:tcW w:type="dxa" w:w="964"/>
            <w:vAlign w:val="center"/>
          </w:tcPr>
          <w:p>
            <w:r>
              <w:rPr>
                <w:sz w:val="16"/>
              </w:rPr>
              <w:t>34/451</w:t>
            </w:r>
          </w:p>
        </w:tc>
        <w:tc>
          <w:tcPr>
            <w:tcW w:type="dxa" w:w="850"/>
            <w:vAlign w:val="center"/>
          </w:tcPr>
          <w:p>
            <w:r>
              <w:rPr>
                <w:sz w:val="16"/>
              </w:rPr>
              <w:t>0.695</w:t>
            </w:r>
          </w:p>
        </w:tc>
        <w:tc>
          <w:tcPr>
            <w:tcW w:type="dxa" w:w="964"/>
            <w:vAlign w:val="center"/>
          </w:tcPr>
          <w:p>
            <w:r>
              <w:rPr>
                <w:sz w:val="16"/>
              </w:rPr>
              <w:t>0.876</w:t>
            </w:r>
          </w:p>
        </w:tc>
        <w:tc>
          <w:tcPr>
            <w:tcW w:type="dxa" w:w="964"/>
            <w:vAlign w:val="center"/>
          </w:tcPr>
          <w:p>
            <w:r>
              <w:rPr>
                <w:sz w:val="16"/>
              </w:rPr>
              <w:t>0.369</w:t>
            </w:r>
          </w:p>
        </w:tc>
        <w:tc>
          <w:tcPr>
            <w:tcW w:type="dxa" w:w="850"/>
            <w:vAlign w:val="center"/>
          </w:tcPr>
          <w:p>
            <w:r>
              <w:rPr>
                <w:sz w:val="16"/>
              </w:rPr>
              <w:t>0.447</w:t>
            </w:r>
          </w:p>
        </w:tc>
        <w:tc>
          <w:tcPr>
            <w:tcW w:type="dxa" w:w="850"/>
            <w:vAlign w:val="center"/>
          </w:tcPr>
          <w:p>
            <w:r>
              <w:rPr>
                <w:sz w:val="16"/>
              </w:rPr>
              <w:t>0.957</w:t>
            </w:r>
          </w:p>
        </w:tc>
        <w:tc>
          <w:tcPr>
            <w:tcW w:type="dxa" w:w="1361"/>
            <w:vAlign w:val="center"/>
          </w:tcPr>
          <w:p>
            <w:r>
              <w:rPr>
                <w:sz w:val="16"/>
              </w:rPr>
              <w:t>6/90</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FUBP1</w:t>
            </w:r>
          </w:p>
        </w:tc>
        <w:tc>
          <w:tcPr>
            <w:tcW w:type="dxa" w:w="964"/>
            <w:vAlign w:val="center"/>
          </w:tcPr>
          <w:p>
            <w:r>
              <w:rPr>
                <w:sz w:val="16"/>
              </w:rPr>
              <w:t>44/441</w:t>
            </w:r>
          </w:p>
        </w:tc>
        <w:tc>
          <w:tcPr>
            <w:tcW w:type="dxa" w:w="850"/>
            <w:vAlign w:val="center"/>
          </w:tcPr>
          <w:p>
            <w:r>
              <w:rPr>
                <w:sz w:val="16"/>
              </w:rPr>
              <w:t>0.607</w:t>
            </w:r>
          </w:p>
        </w:tc>
        <w:tc>
          <w:tcPr>
            <w:tcW w:type="dxa" w:w="964"/>
            <w:vAlign w:val="center"/>
          </w:tcPr>
          <w:p>
            <w:r>
              <w:rPr>
                <w:sz w:val="16"/>
              </w:rPr>
              <w:t>0.810</w:t>
            </w:r>
          </w:p>
        </w:tc>
        <w:tc>
          <w:tcPr>
            <w:tcW w:type="dxa" w:w="964"/>
            <w:vAlign w:val="center"/>
          </w:tcPr>
          <w:p>
            <w:r>
              <w:rPr>
                <w:sz w:val="16"/>
              </w:rPr>
              <w:t>0.297</w:t>
            </w:r>
          </w:p>
        </w:tc>
        <w:tc>
          <w:tcPr>
            <w:tcW w:type="dxa" w:w="850"/>
            <w:vAlign w:val="center"/>
          </w:tcPr>
          <w:p>
            <w:r>
              <w:rPr>
                <w:sz w:val="16"/>
              </w:rPr>
              <w:t>0.319</w:t>
            </w:r>
          </w:p>
        </w:tc>
        <w:tc>
          <w:tcPr>
            <w:tcW w:type="dxa" w:w="850"/>
            <w:vAlign w:val="center"/>
          </w:tcPr>
          <w:p>
            <w:r>
              <w:rPr>
                <w:sz w:val="16"/>
              </w:rPr>
              <w:t>0.928</w:t>
            </w:r>
          </w:p>
        </w:tc>
        <w:tc>
          <w:tcPr>
            <w:tcW w:type="dxa" w:w="1361"/>
            <w:vAlign w:val="center"/>
          </w:tcPr>
          <w:p>
            <w:r>
              <w:rPr>
                <w:sz w:val="16"/>
              </w:rPr>
              <w:t>8/88</w:t>
            </w:r>
          </w:p>
        </w:tc>
        <w:tc>
          <w:tcPr>
            <w:tcW w:type="dxa" w:w="1531"/>
            <w:vAlign w:val="center"/>
          </w:tcPr>
          <w:p>
            <w:r>
              <w:rPr>
                <w:sz w:val="16"/>
              </w:rPr>
              <w:t>limited; excluded</w:t>
            </w:r>
          </w:p>
        </w:tc>
      </w:tr>
      <w:tr>
        <w:trPr>
          <w:cantSplit/>
        </w:trPr>
        <w:tc>
          <w:tcPr>
            <w:tcW w:type="dxa" w:w="907"/>
            <w:vAlign w:val="center"/>
          </w:tcPr>
          <w:p>
            <w:r>
              <w:rPr>
                <w:sz w:val="16"/>
              </w:rPr>
              <w:t>LGG</w:t>
            </w:r>
          </w:p>
        </w:tc>
        <w:tc>
          <w:tcPr>
            <w:tcW w:type="dxa" w:w="2835"/>
            <w:vAlign w:val="center"/>
          </w:tcPr>
          <w:p>
            <w:r>
              <w:rPr>
                <w:sz w:val="16"/>
              </w:rPr>
              <w:t>PTEN</w:t>
            </w:r>
          </w:p>
        </w:tc>
        <w:tc>
          <w:tcPr>
            <w:tcW w:type="dxa" w:w="964"/>
            <w:vAlign w:val="center"/>
          </w:tcPr>
          <w:p>
            <w:r>
              <w:rPr>
                <w:sz w:val="16"/>
              </w:rPr>
              <w:t>23/462</w:t>
            </w:r>
          </w:p>
        </w:tc>
        <w:tc>
          <w:tcPr>
            <w:tcW w:type="dxa" w:w="850"/>
            <w:vAlign w:val="center"/>
          </w:tcPr>
          <w:p>
            <w:r>
              <w:rPr>
                <w:sz w:val="16"/>
              </w:rPr>
              <w:t>0.636</w:t>
            </w:r>
          </w:p>
        </w:tc>
        <w:tc>
          <w:tcPr>
            <w:tcW w:type="dxa" w:w="964"/>
            <w:vAlign w:val="center"/>
          </w:tcPr>
          <w:p>
            <w:r>
              <w:rPr>
                <w:sz w:val="16"/>
              </w:rPr>
              <w:t>0.761</w:t>
            </w:r>
          </w:p>
        </w:tc>
        <w:tc>
          <w:tcPr>
            <w:tcW w:type="dxa" w:w="964"/>
            <w:vAlign w:val="center"/>
          </w:tcPr>
          <w:p>
            <w:r>
              <w:rPr>
                <w:sz w:val="16"/>
              </w:rPr>
              <w:t>0.196</w:t>
            </w:r>
          </w:p>
        </w:tc>
        <w:tc>
          <w:tcPr>
            <w:tcW w:type="dxa" w:w="850"/>
            <w:vAlign w:val="center"/>
          </w:tcPr>
          <w:p>
            <w:r>
              <w:rPr>
                <w:sz w:val="16"/>
              </w:rPr>
              <w:t>0.318</w:t>
            </w:r>
          </w:p>
        </w:tc>
        <w:tc>
          <w:tcPr>
            <w:tcW w:type="dxa" w:w="850"/>
            <w:vAlign w:val="center"/>
          </w:tcPr>
          <w:p>
            <w:r>
              <w:rPr>
                <w:sz w:val="16"/>
              </w:rPr>
              <w:t>0.965</w:t>
            </w:r>
          </w:p>
        </w:tc>
        <w:tc>
          <w:tcPr>
            <w:tcW w:type="dxa" w:w="1361"/>
            <w:vAlign w:val="center"/>
          </w:tcPr>
          <w:p>
            <w:r>
              <w:rPr>
                <w:sz w:val="16"/>
              </w:rPr>
              <w:t>4/92</w:t>
            </w:r>
          </w:p>
        </w:tc>
        <w:tc>
          <w:tcPr>
            <w:tcW w:type="dxa" w:w="1531"/>
            <w:vAlign w:val="center"/>
          </w:tcPr>
          <w:p>
            <w:r>
              <w:rPr>
                <w:sz w:val="16"/>
              </w:rPr>
              <w:t>limited; excluded</w:t>
            </w:r>
          </w:p>
        </w:tc>
      </w:tr>
      <w:tr>
        <w:trPr>
          <w:cantSplit/>
        </w:trPr>
        <w:tc>
          <w:tcPr>
            <w:tcW w:type="dxa" w:w="907"/>
            <w:vAlign w:val="center"/>
          </w:tcPr>
          <w:p>
            <w:r>
              <w:rPr>
                <w:sz w:val="16"/>
              </w:rPr>
              <w:t>LIHC</w:t>
            </w:r>
          </w:p>
        </w:tc>
        <w:tc>
          <w:tcPr>
            <w:tcW w:type="dxa" w:w="2835"/>
            <w:vAlign w:val="center"/>
          </w:tcPr>
          <w:p>
            <w:r>
              <w:rPr>
                <w:sz w:val="16"/>
              </w:rPr>
              <w:t>BAP1</w:t>
            </w:r>
          </w:p>
        </w:tc>
        <w:tc>
          <w:tcPr>
            <w:tcW w:type="dxa" w:w="964"/>
            <w:vAlign w:val="center"/>
          </w:tcPr>
          <w:p>
            <w:r>
              <w:rPr>
                <w:sz w:val="16"/>
              </w:rPr>
              <w:t>20/330</w:t>
            </w:r>
          </w:p>
        </w:tc>
        <w:tc>
          <w:tcPr>
            <w:tcW w:type="dxa" w:w="850"/>
            <w:vAlign w:val="center"/>
          </w:tcPr>
          <w:p>
            <w:r>
              <w:rPr>
                <w:sz w:val="16"/>
              </w:rPr>
              <w:t>0.601</w:t>
            </w:r>
          </w:p>
        </w:tc>
        <w:tc>
          <w:tcPr>
            <w:tcW w:type="dxa" w:w="964"/>
            <w:vAlign w:val="center"/>
          </w:tcPr>
          <w:p>
            <w:r>
              <w:rPr>
                <w:sz w:val="16"/>
              </w:rPr>
              <w:t>0.790</w:t>
            </w:r>
          </w:p>
        </w:tc>
        <w:tc>
          <w:tcPr>
            <w:tcW w:type="dxa" w:w="964"/>
            <w:vAlign w:val="center"/>
          </w:tcPr>
          <w:p>
            <w:r>
              <w:rPr>
                <w:sz w:val="16"/>
              </w:rPr>
              <w:t>0.254</w:t>
            </w:r>
          </w:p>
        </w:tc>
        <w:tc>
          <w:tcPr>
            <w:tcW w:type="dxa" w:w="850"/>
            <w:vAlign w:val="center"/>
          </w:tcPr>
          <w:p>
            <w:r>
              <w:rPr>
                <w:sz w:val="16"/>
              </w:rPr>
              <w:t>0.343</w:t>
            </w:r>
          </w:p>
        </w:tc>
        <w:tc>
          <w:tcPr>
            <w:tcW w:type="dxa" w:w="850"/>
            <w:vAlign w:val="center"/>
          </w:tcPr>
          <w:p>
            <w:r>
              <w:rPr>
                <w:sz w:val="16"/>
              </w:rPr>
              <w:t>0.954</w:t>
            </w:r>
          </w:p>
        </w:tc>
        <w:tc>
          <w:tcPr>
            <w:tcW w:type="dxa" w:w="1361"/>
            <w:vAlign w:val="center"/>
          </w:tcPr>
          <w:p>
            <w:r>
              <w:rPr>
                <w:sz w:val="16"/>
              </w:rPr>
              <w:t>4/66</w:t>
            </w:r>
          </w:p>
        </w:tc>
        <w:tc>
          <w:tcPr>
            <w:tcW w:type="dxa" w:w="1531"/>
            <w:vAlign w:val="center"/>
          </w:tcPr>
          <w:p>
            <w:r>
              <w:rPr>
                <w:sz w:val="16"/>
              </w:rPr>
              <w:t>limited; excluded</w:t>
            </w:r>
          </w:p>
        </w:tc>
      </w:tr>
      <w:tr>
        <w:trPr>
          <w:cantSplit/>
        </w:trPr>
        <w:tc>
          <w:tcPr>
            <w:tcW w:type="dxa" w:w="907"/>
            <w:vAlign w:val="center"/>
          </w:tcPr>
          <w:p>
            <w:r>
              <w:rPr>
                <w:sz w:val="16"/>
              </w:rPr>
              <w:t>OV</w:t>
            </w:r>
          </w:p>
        </w:tc>
        <w:tc>
          <w:tcPr>
            <w:tcW w:type="dxa" w:w="2835"/>
            <w:vAlign w:val="center"/>
          </w:tcPr>
          <w:p>
            <w:r>
              <w:rPr>
                <w:sz w:val="16"/>
              </w:rPr>
              <w:t>TP53</w:t>
            </w:r>
          </w:p>
        </w:tc>
        <w:tc>
          <w:tcPr>
            <w:tcW w:type="dxa" w:w="964"/>
            <w:vAlign w:val="center"/>
          </w:tcPr>
          <w:p>
            <w:r>
              <w:rPr>
                <w:sz w:val="16"/>
              </w:rPr>
              <w:t>22/50</w:t>
            </w:r>
          </w:p>
        </w:tc>
        <w:tc>
          <w:tcPr>
            <w:tcW w:type="dxa" w:w="850"/>
            <w:vAlign w:val="center"/>
          </w:tcPr>
          <w:p>
            <w:r>
              <w:rPr>
                <w:sz w:val="16"/>
              </w:rPr>
              <w:t>0.675</w:t>
            </w:r>
          </w:p>
        </w:tc>
        <w:tc>
          <w:tcPr>
            <w:tcW w:type="dxa" w:w="964"/>
            <w:vAlign w:val="center"/>
          </w:tcPr>
          <w:p>
            <w:r>
              <w:rPr>
                <w:sz w:val="16"/>
              </w:rPr>
              <w:t>0.700</w:t>
            </w:r>
          </w:p>
        </w:tc>
        <w:tc>
          <w:tcPr>
            <w:tcW w:type="dxa" w:w="964"/>
            <w:vAlign w:val="center"/>
          </w:tcPr>
          <w:p>
            <w:r>
              <w:rPr>
                <w:sz w:val="16"/>
              </w:rPr>
              <w:t>0.592</w:t>
            </w:r>
          </w:p>
        </w:tc>
        <w:tc>
          <w:tcPr>
            <w:tcW w:type="dxa" w:w="850"/>
            <w:vAlign w:val="center"/>
          </w:tcPr>
          <w:p>
            <w:r>
              <w:rPr>
                <w:sz w:val="16"/>
              </w:rPr>
              <w:t>0.614</w:t>
            </w:r>
          </w:p>
        </w:tc>
        <w:tc>
          <w:tcPr>
            <w:tcW w:type="dxa" w:w="850"/>
            <w:vAlign w:val="center"/>
          </w:tcPr>
          <w:p>
            <w:r>
              <w:rPr>
                <w:sz w:val="16"/>
              </w:rPr>
              <w:t>0.793</w:t>
            </w:r>
          </w:p>
        </w:tc>
        <w:tc>
          <w:tcPr>
            <w:tcW w:type="dxa" w:w="1361"/>
            <w:vAlign w:val="center"/>
          </w:tcPr>
          <w:p>
            <w:r>
              <w:rPr>
                <w:sz w:val="16"/>
              </w:rPr>
              <w:t>4/10</w:t>
            </w:r>
          </w:p>
        </w:tc>
        <w:tc>
          <w:tcPr>
            <w:tcW w:type="dxa" w:w="1531"/>
            <w:vAlign w:val="center"/>
          </w:tcPr>
          <w:p>
            <w:r>
              <w:rPr>
                <w:sz w:val="16"/>
              </w:rPr>
              <w:t>limited; excluded</w:t>
            </w:r>
          </w:p>
        </w:tc>
      </w:tr>
      <w:tr>
        <w:trPr>
          <w:cantSplit/>
        </w:trPr>
        <w:tc>
          <w:tcPr>
            <w:tcW w:type="dxa" w:w="907"/>
            <w:vAlign w:val="center"/>
          </w:tcPr>
          <w:p>
            <w:r>
              <w:rPr>
                <w:sz w:val="16"/>
              </w:rPr>
              <w:t>SKCM</w:t>
            </w:r>
          </w:p>
        </w:tc>
        <w:tc>
          <w:tcPr>
            <w:tcW w:type="dxa" w:w="2835"/>
            <w:vAlign w:val="center"/>
          </w:tcPr>
          <w:p>
            <w:r>
              <w:rPr>
                <w:sz w:val="16"/>
              </w:rPr>
              <w:t>BRAF</w:t>
            </w:r>
          </w:p>
        </w:tc>
        <w:tc>
          <w:tcPr>
            <w:tcW w:type="dxa" w:w="964"/>
            <w:vAlign w:val="center"/>
          </w:tcPr>
          <w:p>
            <w:r>
              <w:rPr>
                <w:sz w:val="16"/>
              </w:rPr>
              <w:t>52/46</w:t>
            </w:r>
          </w:p>
        </w:tc>
        <w:tc>
          <w:tcPr>
            <w:tcW w:type="dxa" w:w="850"/>
            <w:vAlign w:val="center"/>
          </w:tcPr>
          <w:p>
            <w:r>
              <w:rPr>
                <w:sz w:val="16"/>
              </w:rPr>
              <w:t>0.626</w:t>
            </w:r>
          </w:p>
        </w:tc>
        <w:tc>
          <w:tcPr>
            <w:tcW w:type="dxa" w:w="964"/>
            <w:vAlign w:val="center"/>
          </w:tcPr>
          <w:p>
            <w:r>
              <w:rPr>
                <w:sz w:val="16"/>
              </w:rPr>
              <w:t>0.652</w:t>
            </w:r>
          </w:p>
        </w:tc>
        <w:tc>
          <w:tcPr>
            <w:tcW w:type="dxa" w:w="964"/>
            <w:vAlign w:val="center"/>
          </w:tcPr>
          <w:p>
            <w:r>
              <w:rPr>
                <w:sz w:val="16"/>
              </w:rPr>
              <w:t>0.646</w:t>
            </w:r>
          </w:p>
        </w:tc>
        <w:tc>
          <w:tcPr>
            <w:tcW w:type="dxa" w:w="850"/>
            <w:vAlign w:val="center"/>
          </w:tcPr>
          <w:p>
            <w:r>
              <w:rPr>
                <w:sz w:val="16"/>
              </w:rPr>
              <w:t>0.640</w:t>
            </w:r>
          </w:p>
        </w:tc>
        <w:tc>
          <w:tcPr>
            <w:tcW w:type="dxa" w:w="850"/>
            <w:vAlign w:val="center"/>
          </w:tcPr>
          <w:p>
            <w:r>
              <w:rPr>
                <w:sz w:val="16"/>
              </w:rPr>
              <w:t>0.618</w:t>
            </w:r>
          </w:p>
        </w:tc>
        <w:tc>
          <w:tcPr>
            <w:tcW w:type="dxa" w:w="1361"/>
            <w:vAlign w:val="center"/>
          </w:tcPr>
          <w:p>
            <w:r>
              <w:rPr>
                <w:sz w:val="16"/>
              </w:rPr>
              <w:t>10/9</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NRAS</w:t>
            </w:r>
          </w:p>
        </w:tc>
        <w:tc>
          <w:tcPr>
            <w:tcW w:type="dxa" w:w="964"/>
            <w:vAlign w:val="center"/>
          </w:tcPr>
          <w:p>
            <w:r>
              <w:rPr>
                <w:sz w:val="16"/>
              </w:rPr>
              <w:t>39/451</w:t>
            </w:r>
          </w:p>
        </w:tc>
        <w:tc>
          <w:tcPr>
            <w:tcW w:type="dxa" w:w="850"/>
            <w:vAlign w:val="center"/>
          </w:tcPr>
          <w:p>
            <w:r>
              <w:rPr>
                <w:sz w:val="16"/>
              </w:rPr>
              <w:t>0.699</w:t>
            </w:r>
          </w:p>
        </w:tc>
        <w:tc>
          <w:tcPr>
            <w:tcW w:type="dxa" w:w="964"/>
            <w:vAlign w:val="center"/>
          </w:tcPr>
          <w:p>
            <w:r>
              <w:rPr>
                <w:sz w:val="16"/>
              </w:rPr>
              <w:t>0.828</w:t>
            </w:r>
          </w:p>
        </w:tc>
        <w:tc>
          <w:tcPr>
            <w:tcW w:type="dxa" w:w="964"/>
            <w:vAlign w:val="center"/>
          </w:tcPr>
          <w:p>
            <w:r>
              <w:rPr>
                <w:sz w:val="16"/>
              </w:rPr>
              <w:t>0.404</w:t>
            </w:r>
          </w:p>
        </w:tc>
        <w:tc>
          <w:tcPr>
            <w:tcW w:type="dxa" w:w="850"/>
            <w:vAlign w:val="center"/>
          </w:tcPr>
          <w:p>
            <w:r>
              <w:rPr>
                <w:sz w:val="16"/>
              </w:rPr>
              <w:t>0.449</w:t>
            </w:r>
          </w:p>
        </w:tc>
        <w:tc>
          <w:tcPr>
            <w:tcW w:type="dxa" w:w="850"/>
            <w:vAlign w:val="center"/>
          </w:tcPr>
          <w:p>
            <w:r>
              <w:rPr>
                <w:sz w:val="16"/>
              </w:rPr>
              <w:t>0.952</w:t>
            </w:r>
          </w:p>
        </w:tc>
        <w:tc>
          <w:tcPr>
            <w:tcW w:type="dxa" w:w="1361"/>
            <w:vAlign w:val="center"/>
          </w:tcPr>
          <w:p>
            <w:r>
              <w:rPr>
                <w:sz w:val="16"/>
              </w:rPr>
              <w:t>7/90</w:t>
            </w:r>
          </w:p>
        </w:tc>
        <w:tc>
          <w:tcPr>
            <w:tcW w:type="dxa" w:w="1531"/>
            <w:vAlign w:val="center"/>
          </w:tcPr>
          <w:p>
            <w:r>
              <w:rPr>
                <w:sz w:val="16"/>
              </w:rPr>
              <w:t>limited; excluded</w:t>
            </w:r>
          </w:p>
        </w:tc>
      </w:tr>
      <w:tr>
        <w:trPr>
          <w:cantSplit/>
        </w:trPr>
        <w:tc>
          <w:tcPr>
            <w:tcW w:type="dxa" w:w="907"/>
            <w:vAlign w:val="center"/>
          </w:tcPr>
          <w:p>
            <w:r>
              <w:rPr>
                <w:sz w:val="16"/>
              </w:rPr>
              <w:t>SARC</w:t>
            </w:r>
          </w:p>
        </w:tc>
        <w:tc>
          <w:tcPr>
            <w:tcW w:type="dxa" w:w="2835"/>
            <w:vAlign w:val="center"/>
          </w:tcPr>
          <w:p>
            <w:r>
              <w:rPr>
                <w:sz w:val="16"/>
              </w:rPr>
              <w:t>Any called fusion</w:t>
            </w:r>
          </w:p>
        </w:tc>
        <w:tc>
          <w:tcPr>
            <w:tcW w:type="dxa" w:w="964"/>
            <w:vAlign w:val="center"/>
          </w:tcPr>
          <w:p>
            <w:r>
              <w:rPr>
                <w:sz w:val="16"/>
              </w:rPr>
              <w:t>216/36</w:t>
            </w:r>
          </w:p>
        </w:tc>
        <w:tc>
          <w:tcPr>
            <w:tcW w:type="dxa" w:w="850"/>
            <w:vAlign w:val="center"/>
          </w:tcPr>
          <w:p>
            <w:r>
              <w:rPr>
                <w:sz w:val="16"/>
              </w:rPr>
              <w:t>0.583</w:t>
            </w:r>
          </w:p>
        </w:tc>
        <w:tc>
          <w:tcPr>
            <w:tcW w:type="dxa" w:w="964"/>
            <w:vAlign w:val="center"/>
          </w:tcPr>
          <w:p>
            <w:r>
              <w:rPr>
                <w:sz w:val="16"/>
              </w:rPr>
              <w:t>0.647</w:t>
            </w:r>
          </w:p>
        </w:tc>
        <w:tc>
          <w:tcPr>
            <w:tcW w:type="dxa" w:w="964"/>
            <w:vAlign w:val="center"/>
          </w:tcPr>
          <w:p>
            <w:r>
              <w:rPr>
                <w:sz w:val="16"/>
              </w:rPr>
              <w:t>0.905</w:t>
            </w:r>
          </w:p>
        </w:tc>
        <w:tc>
          <w:tcPr>
            <w:tcW w:type="dxa" w:w="850"/>
            <w:vAlign w:val="center"/>
          </w:tcPr>
          <w:p>
            <w:r>
              <w:rPr>
                <w:sz w:val="16"/>
              </w:rPr>
              <w:t>0.880</w:t>
            </w:r>
          </w:p>
        </w:tc>
        <w:tc>
          <w:tcPr>
            <w:tcW w:type="dxa" w:w="850"/>
            <w:vAlign w:val="center"/>
          </w:tcPr>
          <w:p>
            <w:r>
              <w:rPr>
                <w:sz w:val="16"/>
              </w:rPr>
              <w:t>0.331</w:t>
            </w:r>
          </w:p>
        </w:tc>
        <w:tc>
          <w:tcPr>
            <w:tcW w:type="dxa" w:w="1361"/>
            <w:vAlign w:val="center"/>
          </w:tcPr>
          <w:p>
            <w:r>
              <w:rPr>
                <w:sz w:val="16"/>
              </w:rPr>
              <w:t>43/7</w:t>
            </w:r>
          </w:p>
        </w:tc>
        <w:tc>
          <w:tcPr>
            <w:tcW w:type="dxa" w:w="1531"/>
            <w:vAlign w:val="center"/>
          </w:tcPr>
          <w:p>
            <w:r>
              <w:rPr>
                <w:sz w:val="16"/>
              </w:rPr>
              <w:t>limited; excluded</w:t>
            </w:r>
          </w:p>
        </w:tc>
      </w:tr>
      <w:tr>
        <w:trPr>
          <w:cantSplit/>
        </w:trPr>
        <w:tc>
          <w:tcPr>
            <w:tcW w:type="dxa" w:w="907"/>
            <w:vAlign w:val="center"/>
          </w:tcPr>
          <w:p>
            <w:r>
              <w:rPr>
                <w:sz w:val="16"/>
              </w:rPr>
              <w:t>THCA</w:t>
            </w:r>
          </w:p>
        </w:tc>
        <w:tc>
          <w:tcPr>
            <w:tcW w:type="dxa" w:w="2835"/>
            <w:vAlign w:val="center"/>
          </w:tcPr>
          <w:p>
            <w:r>
              <w:rPr>
                <w:sz w:val="16"/>
              </w:rPr>
              <w:t>Fusion pair: CCDC6--RET</w:t>
            </w:r>
          </w:p>
        </w:tc>
        <w:tc>
          <w:tcPr>
            <w:tcW w:type="dxa" w:w="964"/>
            <w:vAlign w:val="center"/>
          </w:tcPr>
          <w:p>
            <w:r>
              <w:rPr>
                <w:sz w:val="16"/>
              </w:rPr>
              <w:t>21/481</w:t>
            </w:r>
          </w:p>
        </w:tc>
        <w:tc>
          <w:tcPr>
            <w:tcW w:type="dxa" w:w="850"/>
            <w:vAlign w:val="center"/>
          </w:tcPr>
          <w:p>
            <w:r>
              <w:rPr>
                <w:sz w:val="16"/>
              </w:rPr>
              <w:t>0.648</w:t>
            </w:r>
          </w:p>
        </w:tc>
        <w:tc>
          <w:tcPr>
            <w:tcW w:type="dxa" w:w="964"/>
            <w:vAlign w:val="center"/>
          </w:tcPr>
          <w:p>
            <w:r>
              <w:rPr>
                <w:sz w:val="16"/>
              </w:rPr>
              <w:t>0.811</w:t>
            </w:r>
          </w:p>
        </w:tc>
        <w:tc>
          <w:tcPr>
            <w:tcW w:type="dxa" w:w="964"/>
            <w:vAlign w:val="center"/>
          </w:tcPr>
          <w:p>
            <w:r>
              <w:rPr>
                <w:sz w:val="16"/>
              </w:rPr>
              <w:t>0.389</w:t>
            </w:r>
          </w:p>
        </w:tc>
        <w:tc>
          <w:tcPr>
            <w:tcW w:type="dxa" w:w="850"/>
            <w:vAlign w:val="center"/>
          </w:tcPr>
          <w:p>
            <w:r>
              <w:rPr>
                <w:sz w:val="16"/>
              </w:rPr>
              <w:t>0.441</w:t>
            </w:r>
          </w:p>
        </w:tc>
        <w:tc>
          <w:tcPr>
            <w:tcW w:type="dxa" w:w="850"/>
            <w:vAlign w:val="center"/>
          </w:tcPr>
          <w:p>
            <w:r>
              <w:rPr>
                <w:sz w:val="16"/>
              </w:rPr>
              <w:t>0.970</w:t>
            </w:r>
          </w:p>
        </w:tc>
        <w:tc>
          <w:tcPr>
            <w:tcW w:type="dxa" w:w="1361"/>
            <w:vAlign w:val="center"/>
          </w:tcPr>
          <w:p>
            <w:r>
              <w:rPr>
                <w:sz w:val="16"/>
              </w:rPr>
              <w:t>4/96</w:t>
            </w:r>
          </w:p>
        </w:tc>
        <w:tc>
          <w:tcPr>
            <w:tcW w:type="dxa" w:w="1531"/>
            <w:vAlign w:val="center"/>
          </w:tcPr>
          <w:p>
            <w:r>
              <w:rPr>
                <w:sz w:val="16"/>
              </w:rPr>
              <w:t>limited; excluded</w:t>
            </w:r>
          </w:p>
        </w:tc>
      </w:tr>
      <w:tr>
        <w:trPr>
          <w:cantSplit/>
        </w:trPr>
        <w:tc>
          <w:tcPr>
            <w:tcW w:type="dxa" w:w="907"/>
            <w:vAlign w:val="center"/>
          </w:tcPr>
          <w:p>
            <w:r>
              <w:rPr>
                <w:sz w:val="16"/>
              </w:rPr>
              <w:t>GBM</w:t>
            </w:r>
          </w:p>
        </w:tc>
        <w:tc>
          <w:tcPr>
            <w:tcW w:type="dxa" w:w="2835"/>
            <w:vAlign w:val="center"/>
          </w:tcPr>
          <w:p>
            <w:r>
              <w:rPr>
                <w:sz w:val="16"/>
              </w:rPr>
              <w:t>TP53</w:t>
            </w:r>
          </w:p>
        </w:tc>
        <w:tc>
          <w:tcPr>
            <w:tcW w:type="dxa" w:w="964"/>
            <w:vAlign w:val="center"/>
          </w:tcPr>
          <w:p>
            <w:r>
              <w:rPr>
                <w:sz w:val="16"/>
              </w:rPr>
              <w:t>38/33</w:t>
            </w:r>
          </w:p>
        </w:tc>
        <w:tc>
          <w:tcPr>
            <w:tcW w:type="dxa" w:w="850"/>
            <w:vAlign w:val="center"/>
          </w:tcPr>
          <w:p>
            <w:r>
              <w:rPr>
                <w:sz w:val="16"/>
              </w:rPr>
              <w:t>0.657</w:t>
            </w:r>
          </w:p>
        </w:tc>
        <w:tc>
          <w:tcPr>
            <w:tcW w:type="dxa" w:w="964"/>
            <w:vAlign w:val="center"/>
          </w:tcPr>
          <w:p>
            <w:r>
              <w:rPr>
                <w:sz w:val="16"/>
              </w:rPr>
              <w:t>0.698</w:t>
            </w:r>
          </w:p>
        </w:tc>
        <w:tc>
          <w:tcPr>
            <w:tcW w:type="dxa" w:w="964"/>
            <w:vAlign w:val="center"/>
          </w:tcPr>
          <w:p>
            <w:r>
              <w:rPr>
                <w:sz w:val="16"/>
              </w:rPr>
              <w:t>0.719</w:t>
            </w:r>
          </w:p>
        </w:tc>
        <w:tc>
          <w:tcPr>
            <w:tcW w:type="dxa" w:w="850"/>
            <w:vAlign w:val="center"/>
          </w:tcPr>
          <w:p>
            <w:r>
              <w:rPr>
                <w:sz w:val="16"/>
              </w:rPr>
              <w:t>0.695</w:t>
            </w:r>
          </w:p>
        </w:tc>
        <w:tc>
          <w:tcPr>
            <w:tcW w:type="dxa" w:w="850"/>
            <w:vAlign w:val="center"/>
          </w:tcPr>
          <w:p>
            <w:r>
              <w:rPr>
                <w:sz w:val="16"/>
              </w:rPr>
              <w:t>0.622</w:t>
            </w:r>
          </w:p>
        </w:tc>
        <w:tc>
          <w:tcPr>
            <w:tcW w:type="dxa" w:w="1361"/>
            <w:vAlign w:val="center"/>
          </w:tcPr>
          <w:p>
            <w:r>
              <w:rPr>
                <w:sz w:val="16"/>
              </w:rPr>
              <w:t>7/6</w:t>
            </w:r>
          </w:p>
        </w:tc>
        <w:tc>
          <w:tcPr>
            <w:tcW w:type="dxa" w:w="1531"/>
            <w:vAlign w:val="center"/>
          </w:tcPr>
          <w:p>
            <w:r>
              <w:rPr>
                <w:sz w:val="16"/>
              </w:rPr>
              <w:t>limited; excluded</w:t>
            </w:r>
          </w:p>
        </w:tc>
      </w:tr>
      <w:tr>
        <w:trPr>
          <w:cantSplit/>
        </w:trPr>
        <w:tc>
          <w:tcPr>
            <w:tcW w:type="dxa" w:w="907"/>
            <w:vAlign w:val="center"/>
          </w:tcPr>
          <w:p>
            <w:r>
              <w:rPr>
                <w:sz w:val="16"/>
              </w:rPr>
              <w:t>KIRC</w:t>
            </w:r>
          </w:p>
        </w:tc>
        <w:tc>
          <w:tcPr>
            <w:tcW w:type="dxa" w:w="2835"/>
            <w:vAlign w:val="center"/>
          </w:tcPr>
          <w:p>
            <w:r>
              <w:rPr>
                <w:sz w:val="16"/>
              </w:rPr>
              <w:t>WNT</w:t>
            </w:r>
          </w:p>
        </w:tc>
        <w:tc>
          <w:tcPr>
            <w:tcW w:type="dxa" w:w="964"/>
            <w:vAlign w:val="center"/>
          </w:tcPr>
          <w:p>
            <w:r>
              <w:rPr>
                <w:sz w:val="16"/>
              </w:rPr>
              <w:t>23/313</w:t>
            </w:r>
          </w:p>
        </w:tc>
        <w:tc>
          <w:tcPr>
            <w:tcW w:type="dxa" w:w="850"/>
            <w:vAlign w:val="center"/>
          </w:tcPr>
          <w:p>
            <w:r>
              <w:rPr>
                <w:sz w:val="16"/>
              </w:rPr>
              <w:t>0.576</w:t>
            </w:r>
          </w:p>
        </w:tc>
        <w:tc>
          <w:tcPr>
            <w:tcW w:type="dxa" w:w="964"/>
            <w:vAlign w:val="center"/>
          </w:tcPr>
          <w:p>
            <w:r>
              <w:rPr>
                <w:sz w:val="16"/>
              </w:rPr>
              <w:t>0.588</w:t>
            </w:r>
          </w:p>
        </w:tc>
        <w:tc>
          <w:tcPr>
            <w:tcW w:type="dxa" w:w="964"/>
            <w:vAlign w:val="center"/>
          </w:tcPr>
          <w:p>
            <w:r>
              <w:rPr>
                <w:sz w:val="16"/>
              </w:rPr>
              <w:t>0.194</w:t>
            </w:r>
          </w:p>
        </w:tc>
        <w:tc>
          <w:tcPr>
            <w:tcW w:type="dxa" w:w="850"/>
            <w:vAlign w:val="center"/>
          </w:tcPr>
          <w:p>
            <w:r>
              <w:rPr>
                <w:sz w:val="16"/>
              </w:rPr>
              <w:t>0.312</w:t>
            </w:r>
          </w:p>
        </w:tc>
        <w:tc>
          <w:tcPr>
            <w:tcW w:type="dxa" w:w="850"/>
            <w:vAlign w:val="center"/>
          </w:tcPr>
          <w:p>
            <w:r>
              <w:rPr>
                <w:sz w:val="16"/>
              </w:rPr>
              <w:t>0.942</w:t>
            </w:r>
          </w:p>
        </w:tc>
        <w:tc>
          <w:tcPr>
            <w:tcW w:type="dxa" w:w="1361"/>
            <w:vAlign w:val="center"/>
          </w:tcPr>
          <w:p>
            <w:r>
              <w:rPr>
                <w:sz w:val="16"/>
              </w:rPr>
              <w:t>4/62</w:t>
            </w:r>
          </w:p>
        </w:tc>
        <w:tc>
          <w:tcPr>
            <w:tcW w:type="dxa" w:w="1531"/>
            <w:vAlign w:val="center"/>
          </w:tcPr>
          <w:p>
            <w:r>
              <w:rPr>
                <w:sz w:val="16"/>
              </w:rPr>
              <w:t>limited; excluded</w:t>
            </w:r>
          </w:p>
        </w:tc>
      </w:tr>
      <w:tr>
        <w:trPr>
          <w:cantSplit/>
        </w:trPr>
        <w:tc>
          <w:tcPr>
            <w:tcW w:type="dxa" w:w="907"/>
            <w:vAlign w:val="center"/>
          </w:tcPr>
          <w:p>
            <w:r>
              <w:rPr>
                <w:sz w:val="16"/>
              </w:rPr>
              <w:t>KIRP</w:t>
            </w:r>
          </w:p>
        </w:tc>
        <w:tc>
          <w:tcPr>
            <w:tcW w:type="dxa" w:w="2835"/>
            <w:vAlign w:val="center"/>
          </w:tcPr>
          <w:p>
            <w:r>
              <w:rPr>
                <w:sz w:val="16"/>
              </w:rPr>
              <w:t>Cell Cycle</w:t>
            </w:r>
          </w:p>
        </w:tc>
        <w:tc>
          <w:tcPr>
            <w:tcW w:type="dxa" w:w="964"/>
            <w:vAlign w:val="center"/>
          </w:tcPr>
          <w:p>
            <w:r>
              <w:rPr>
                <w:sz w:val="16"/>
              </w:rPr>
              <w:t>31/212</w:t>
            </w:r>
          </w:p>
        </w:tc>
        <w:tc>
          <w:tcPr>
            <w:tcW w:type="dxa" w:w="850"/>
            <w:vAlign w:val="center"/>
          </w:tcPr>
          <w:p>
            <w:r>
              <w:rPr>
                <w:sz w:val="16"/>
              </w:rPr>
              <w:t>0.708</w:t>
            </w:r>
          </w:p>
        </w:tc>
        <w:tc>
          <w:tcPr>
            <w:tcW w:type="dxa" w:w="964"/>
            <w:vAlign w:val="center"/>
          </w:tcPr>
          <w:p>
            <w:r>
              <w:rPr>
                <w:sz w:val="16"/>
              </w:rPr>
              <w:t>0.840</w:t>
            </w:r>
          </w:p>
        </w:tc>
        <w:tc>
          <w:tcPr>
            <w:tcW w:type="dxa" w:w="964"/>
            <w:vAlign w:val="center"/>
          </w:tcPr>
          <w:p>
            <w:r>
              <w:rPr>
                <w:sz w:val="16"/>
              </w:rPr>
              <w:t>0.547</w:t>
            </w:r>
          </w:p>
        </w:tc>
        <w:tc>
          <w:tcPr>
            <w:tcW w:type="dxa" w:w="850"/>
            <w:vAlign w:val="center"/>
          </w:tcPr>
          <w:p>
            <w:r>
              <w:rPr>
                <w:sz w:val="16"/>
              </w:rPr>
              <w:t>0.560</w:t>
            </w:r>
          </w:p>
        </w:tc>
        <w:tc>
          <w:tcPr>
            <w:tcW w:type="dxa" w:w="850"/>
            <w:vAlign w:val="center"/>
          </w:tcPr>
          <w:p>
            <w:r>
              <w:rPr>
                <w:sz w:val="16"/>
              </w:rPr>
              <w:t>0.924</w:t>
            </w:r>
          </w:p>
        </w:tc>
        <w:tc>
          <w:tcPr>
            <w:tcW w:type="dxa" w:w="1361"/>
            <w:vAlign w:val="center"/>
          </w:tcPr>
          <w:p>
            <w:r>
              <w:rPr>
                <w:sz w:val="16"/>
              </w:rPr>
              <w:t>6/42</w:t>
            </w:r>
          </w:p>
        </w:tc>
        <w:tc>
          <w:tcPr>
            <w:tcW w:type="dxa" w:w="1531"/>
            <w:vAlign w:val="center"/>
          </w:tcPr>
          <w:p>
            <w:r>
              <w:rPr>
                <w:sz w:val="16"/>
              </w:rPr>
              <w:t>limited; excluded</w:t>
            </w:r>
          </w:p>
        </w:tc>
      </w:tr>
      <w:tr>
        <w:trPr>
          <w:cantSplit/>
        </w:trPr>
        <w:tc>
          <w:tcPr>
            <w:tcW w:type="dxa" w:w="907"/>
            <w:vAlign w:val="center"/>
          </w:tcPr>
          <w:p>
            <w:r>
              <w:rPr>
                <w:sz w:val="16"/>
              </w:rPr>
              <w:t>PCPG</w:t>
            </w:r>
          </w:p>
        </w:tc>
        <w:tc>
          <w:tcPr>
            <w:tcW w:type="dxa" w:w="2835"/>
            <w:vAlign w:val="center"/>
          </w:tcPr>
          <w:p>
            <w:r>
              <w:rPr>
                <w:sz w:val="16"/>
              </w:rPr>
              <w:t>Cell Cycle</w:t>
            </w:r>
          </w:p>
        </w:tc>
        <w:tc>
          <w:tcPr>
            <w:tcW w:type="dxa" w:w="964"/>
            <w:vAlign w:val="center"/>
          </w:tcPr>
          <w:p>
            <w:r>
              <w:rPr>
                <w:sz w:val="16"/>
              </w:rPr>
              <w:t>23/132</w:t>
            </w:r>
          </w:p>
        </w:tc>
        <w:tc>
          <w:tcPr>
            <w:tcW w:type="dxa" w:w="850"/>
            <w:vAlign w:val="center"/>
          </w:tcPr>
          <w:p>
            <w:r>
              <w:rPr>
                <w:sz w:val="16"/>
              </w:rPr>
              <w:t>0.681</w:t>
            </w:r>
          </w:p>
        </w:tc>
        <w:tc>
          <w:tcPr>
            <w:tcW w:type="dxa" w:w="964"/>
            <w:vAlign w:val="center"/>
          </w:tcPr>
          <w:p>
            <w:r>
              <w:rPr>
                <w:sz w:val="16"/>
              </w:rPr>
              <w:t>0.738</w:t>
            </w:r>
          </w:p>
        </w:tc>
        <w:tc>
          <w:tcPr>
            <w:tcW w:type="dxa" w:w="964"/>
            <w:vAlign w:val="center"/>
          </w:tcPr>
          <w:p>
            <w:r>
              <w:rPr>
                <w:sz w:val="16"/>
              </w:rPr>
              <w:t>0.446</w:t>
            </w:r>
          </w:p>
        </w:tc>
        <w:tc>
          <w:tcPr>
            <w:tcW w:type="dxa" w:w="850"/>
            <w:vAlign w:val="center"/>
          </w:tcPr>
          <w:p>
            <w:r>
              <w:rPr>
                <w:sz w:val="16"/>
              </w:rPr>
              <w:t>0.476</w:t>
            </w:r>
          </w:p>
        </w:tc>
        <w:tc>
          <w:tcPr>
            <w:tcW w:type="dxa" w:w="850"/>
            <w:vAlign w:val="center"/>
          </w:tcPr>
          <w:p>
            <w:r>
              <w:rPr>
                <w:sz w:val="16"/>
              </w:rPr>
              <w:t>0.905</w:t>
            </w:r>
          </w:p>
        </w:tc>
        <w:tc>
          <w:tcPr>
            <w:tcW w:type="dxa" w:w="1361"/>
            <w:vAlign w:val="center"/>
          </w:tcPr>
          <w:p>
            <w:r>
              <w:rPr>
                <w:sz w:val="16"/>
              </w:rPr>
              <w:t>4/26</w:t>
            </w:r>
          </w:p>
        </w:tc>
        <w:tc>
          <w:tcPr>
            <w:tcW w:type="dxa" w:w="1531"/>
            <w:vAlign w:val="center"/>
          </w:tcPr>
          <w:p>
            <w:r>
              <w:rPr>
                <w:sz w:val="16"/>
              </w:rPr>
              <w:t>limited; excluded</w:t>
            </w:r>
          </w:p>
        </w:tc>
      </w:tr>
    </w:tbl>
    <w:p/>
    <w:p>
      <w:pPr>
        <w:pStyle w:val="Caption"/>
      </w:pPr>
      <w:r>
        <w:t>Panel C. Inner-fold composition, component selection and repeat stability for the limited-evidence models. Score ρ is the mean pairwise Spearman correlation of standardized held-out LDA scores; call agreement is shown descriptively and can be inflated by imbalance.</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1020"/>
          </w:tcPr>
          <w:p>
            <w:r>
              <w:rPr>
                <w:b/>
                <w:sz w:val="17"/>
              </w:rPr>
              <w:t>Cancer</w:t>
            </w:r>
          </w:p>
        </w:tc>
        <w:tc>
          <w:tcPr>
            <w:tcW w:type="dxa" w:w="3118"/>
          </w:tcPr>
          <w:p>
            <w:r>
              <w:rPr>
                <w:b/>
                <w:sz w:val="17"/>
              </w:rPr>
              <w:t>Endpoint</w:t>
            </w:r>
          </w:p>
        </w:tc>
        <w:tc>
          <w:tcPr>
            <w:tcW w:type="dxa" w:w="1814"/>
          </w:tcPr>
          <w:p>
            <w:r>
              <w:rPr>
                <w:b/>
                <w:sz w:val="17"/>
              </w:rPr>
              <w:t>Min inner train +/−</w:t>
            </w:r>
          </w:p>
        </w:tc>
        <w:tc>
          <w:tcPr>
            <w:tcW w:type="dxa" w:w="1928"/>
          </w:tcPr>
          <w:p>
            <w:r>
              <w:rPr>
                <w:b/>
                <w:sz w:val="17"/>
              </w:rPr>
              <w:t>Min inner validation +/−</w:t>
            </w:r>
          </w:p>
        </w:tc>
        <w:tc>
          <w:tcPr>
            <w:tcW w:type="dxa" w:w="2835"/>
          </w:tcPr>
          <w:p>
            <w:r>
              <w:rPr>
                <w:b/>
                <w:sz w:val="17"/>
              </w:rPr>
              <w:t>Components median (IQR; range)</w:t>
            </w:r>
          </w:p>
        </w:tc>
        <w:tc>
          <w:tcPr>
            <w:tcW w:type="dxa" w:w="1134"/>
          </w:tcPr>
          <w:p>
            <w:r>
              <w:rPr>
                <w:b/>
                <w:sz w:val="17"/>
              </w:rPr>
              <w:t>Score ρ</w:t>
            </w:r>
          </w:p>
        </w:tc>
        <w:tc>
          <w:tcPr>
            <w:tcW w:type="dxa" w:w="1361"/>
          </w:tcPr>
          <w:p>
            <w:r>
              <w:rPr>
                <w:b/>
                <w:sz w:val="17"/>
              </w:rPr>
              <w:t>Call agreement</w:t>
            </w:r>
          </w:p>
        </w:tc>
      </w:tr>
      <w:tr>
        <w:trPr>
          <w:cantSplit/>
        </w:trPr>
        <w:tc>
          <w:tcPr>
            <w:tcW w:type="dxa" w:w="1020"/>
            <w:vAlign w:val="center"/>
          </w:tcPr>
          <w:p>
            <w:r>
              <w:rPr>
                <w:sz w:val="16"/>
              </w:rPr>
              <w:t>OV</w:t>
            </w:r>
          </w:p>
        </w:tc>
        <w:tc>
          <w:tcPr>
            <w:tcW w:type="dxa" w:w="3118"/>
            <w:vAlign w:val="center"/>
          </w:tcPr>
          <w:p>
            <w:r>
              <w:rPr>
                <w:sz w:val="16"/>
              </w:rPr>
              <w:t>Genome doubling</w:t>
            </w:r>
          </w:p>
        </w:tc>
        <w:tc>
          <w:tcPr>
            <w:tcW w:type="dxa" w:w="1814"/>
            <w:vAlign w:val="center"/>
          </w:tcPr>
          <w:p>
            <w:r>
              <w:rPr>
                <w:sz w:val="16"/>
              </w:rPr>
              <w:t>41/19</w:t>
            </w:r>
          </w:p>
        </w:tc>
        <w:tc>
          <w:tcPr>
            <w:tcW w:type="dxa" w:w="1928"/>
            <w:vAlign w:val="center"/>
          </w:tcPr>
          <w:p>
            <w:r>
              <w:rPr>
                <w:sz w:val="16"/>
              </w:rPr>
              <w:t>10/4</w:t>
            </w:r>
          </w:p>
        </w:tc>
        <w:tc>
          <w:tcPr>
            <w:tcW w:type="dxa" w:w="2835"/>
            <w:vAlign w:val="center"/>
          </w:tcPr>
          <w:p>
            <w:r>
              <w:rPr>
                <w:sz w:val="16"/>
              </w:rPr>
              <w:t>3.0 (3.0–5.0; 2–10)</w:t>
            </w:r>
          </w:p>
        </w:tc>
        <w:tc>
          <w:tcPr>
            <w:tcW w:type="dxa" w:w="1134"/>
            <w:vAlign w:val="center"/>
          </w:tcPr>
          <w:p>
            <w:r>
              <w:rPr>
                <w:sz w:val="16"/>
              </w:rPr>
              <w:t>0.698</w:t>
            </w:r>
          </w:p>
        </w:tc>
        <w:tc>
          <w:tcPr>
            <w:tcW w:type="dxa" w:w="1361"/>
            <w:vAlign w:val="center"/>
          </w:tcPr>
          <w:p>
            <w:r>
              <w:rPr>
                <w:sz w:val="16"/>
              </w:rPr>
              <w:t>0.842</w:t>
            </w:r>
          </w:p>
        </w:tc>
      </w:tr>
      <w:tr>
        <w:trPr>
          <w:cantSplit/>
        </w:trPr>
        <w:tc>
          <w:tcPr>
            <w:tcW w:type="dxa" w:w="1020"/>
            <w:vAlign w:val="center"/>
          </w:tcPr>
          <w:p>
            <w:r>
              <w:rPr>
                <w:sz w:val="16"/>
              </w:rPr>
              <w:t>PCPG</w:t>
            </w:r>
          </w:p>
        </w:tc>
        <w:tc>
          <w:tcPr>
            <w:tcW w:type="dxa" w:w="3118"/>
            <w:vAlign w:val="center"/>
          </w:tcPr>
          <w:p>
            <w:r>
              <w:rPr>
                <w:sz w:val="16"/>
              </w:rPr>
              <w:t>Genome doubling</w:t>
            </w:r>
          </w:p>
        </w:tc>
        <w:tc>
          <w:tcPr>
            <w:tcW w:type="dxa" w:w="1814"/>
            <w:vAlign w:val="center"/>
          </w:tcPr>
          <w:p>
            <w:r>
              <w:rPr>
                <w:sz w:val="16"/>
              </w:rPr>
              <w:t>15/84</w:t>
            </w:r>
          </w:p>
        </w:tc>
        <w:tc>
          <w:tcPr>
            <w:tcW w:type="dxa" w:w="1928"/>
            <w:vAlign w:val="center"/>
          </w:tcPr>
          <w:p>
            <w:r>
              <w:rPr>
                <w:sz w:val="16"/>
              </w:rPr>
              <w:t>3/21</w:t>
            </w:r>
          </w:p>
        </w:tc>
        <w:tc>
          <w:tcPr>
            <w:tcW w:type="dxa" w:w="2835"/>
            <w:vAlign w:val="center"/>
          </w:tcPr>
          <w:p>
            <w:r>
              <w:rPr>
                <w:sz w:val="16"/>
              </w:rPr>
              <w:t>7.0 (6.0–9.0; 1–10)</w:t>
            </w:r>
          </w:p>
        </w:tc>
        <w:tc>
          <w:tcPr>
            <w:tcW w:type="dxa" w:w="1134"/>
            <w:vAlign w:val="center"/>
          </w:tcPr>
          <w:p>
            <w:r>
              <w:rPr>
                <w:sz w:val="16"/>
              </w:rPr>
              <w:t>0.621</w:t>
            </w:r>
          </w:p>
        </w:tc>
        <w:tc>
          <w:tcPr>
            <w:tcW w:type="dxa" w:w="1361"/>
            <w:vAlign w:val="center"/>
          </w:tcPr>
          <w:p>
            <w:r>
              <w:rPr>
                <w:sz w:val="16"/>
              </w:rPr>
              <w:t>0.873</w:t>
            </w:r>
          </w:p>
        </w:tc>
      </w:tr>
      <w:tr>
        <w:trPr>
          <w:cantSplit/>
        </w:trPr>
        <w:tc>
          <w:tcPr>
            <w:tcW w:type="dxa" w:w="1020"/>
            <w:vAlign w:val="center"/>
          </w:tcPr>
          <w:p>
            <w:r>
              <w:rPr>
                <w:sz w:val="16"/>
              </w:rPr>
              <w:t>CESC</w:t>
            </w:r>
          </w:p>
        </w:tc>
        <w:tc>
          <w:tcPr>
            <w:tcW w:type="dxa" w:w="3118"/>
            <w:vAlign w:val="center"/>
          </w:tcPr>
          <w:p>
            <w:r>
              <w:rPr>
                <w:sz w:val="16"/>
              </w:rPr>
              <w:t>TP53</w:t>
            </w:r>
          </w:p>
        </w:tc>
        <w:tc>
          <w:tcPr>
            <w:tcW w:type="dxa" w:w="1814"/>
            <w:vAlign w:val="center"/>
          </w:tcPr>
          <w:p>
            <w:r>
              <w:rPr>
                <w:sz w:val="16"/>
              </w:rPr>
              <w:t>12/147</w:t>
            </w:r>
          </w:p>
        </w:tc>
        <w:tc>
          <w:tcPr>
            <w:tcW w:type="dxa" w:w="1928"/>
            <w:vAlign w:val="center"/>
          </w:tcPr>
          <w:p>
            <w:r>
              <w:rPr>
                <w:sz w:val="16"/>
              </w:rPr>
              <w:t>3/36</w:t>
            </w:r>
          </w:p>
        </w:tc>
        <w:tc>
          <w:tcPr>
            <w:tcW w:type="dxa" w:w="2835"/>
            <w:vAlign w:val="center"/>
          </w:tcPr>
          <w:p>
            <w:r>
              <w:rPr>
                <w:sz w:val="16"/>
              </w:rPr>
              <w:t>5.0 (2.0–8.0; 1–10)</w:t>
            </w:r>
          </w:p>
        </w:tc>
        <w:tc>
          <w:tcPr>
            <w:tcW w:type="dxa" w:w="1134"/>
            <w:vAlign w:val="center"/>
          </w:tcPr>
          <w:p>
            <w:r>
              <w:rPr>
                <w:sz w:val="16"/>
              </w:rPr>
              <w:t>0.442</w:t>
            </w:r>
          </w:p>
        </w:tc>
        <w:tc>
          <w:tcPr>
            <w:tcW w:type="dxa" w:w="1361"/>
            <w:vAlign w:val="center"/>
          </w:tcPr>
          <w:p>
            <w:r>
              <w:rPr>
                <w:sz w:val="16"/>
              </w:rPr>
              <w:t>0.944</w:t>
            </w:r>
          </w:p>
        </w:tc>
      </w:tr>
      <w:tr>
        <w:trPr>
          <w:cantSplit/>
        </w:trPr>
        <w:tc>
          <w:tcPr>
            <w:tcW w:type="dxa" w:w="1020"/>
            <w:vAlign w:val="center"/>
          </w:tcPr>
          <w:p>
            <w:r>
              <w:rPr>
                <w:sz w:val="16"/>
              </w:rPr>
              <w:t>COAD</w:t>
            </w:r>
          </w:p>
        </w:tc>
        <w:tc>
          <w:tcPr>
            <w:tcW w:type="dxa" w:w="3118"/>
            <w:vAlign w:val="center"/>
          </w:tcPr>
          <w:p>
            <w:r>
              <w:rPr>
                <w:sz w:val="16"/>
              </w:rPr>
              <w:t>BRAF</w:t>
            </w:r>
          </w:p>
        </w:tc>
        <w:tc>
          <w:tcPr>
            <w:tcW w:type="dxa" w:w="1814"/>
            <w:vAlign w:val="center"/>
          </w:tcPr>
          <w:p>
            <w:r>
              <w:rPr>
                <w:sz w:val="16"/>
              </w:rPr>
              <w:t>28/216</w:t>
            </w:r>
          </w:p>
        </w:tc>
        <w:tc>
          <w:tcPr>
            <w:tcW w:type="dxa" w:w="1928"/>
            <w:vAlign w:val="center"/>
          </w:tcPr>
          <w:p>
            <w:r>
              <w:rPr>
                <w:sz w:val="16"/>
              </w:rPr>
              <w:t>7/54</w:t>
            </w:r>
          </w:p>
        </w:tc>
        <w:tc>
          <w:tcPr>
            <w:tcW w:type="dxa" w:w="2835"/>
            <w:vAlign w:val="center"/>
          </w:tcPr>
          <w:p>
            <w:r>
              <w:rPr>
                <w:sz w:val="16"/>
              </w:rPr>
              <w:t>8.0 (4.0–9.0; 3–10)</w:t>
            </w:r>
          </w:p>
        </w:tc>
        <w:tc>
          <w:tcPr>
            <w:tcW w:type="dxa" w:w="1134"/>
            <w:vAlign w:val="center"/>
          </w:tcPr>
          <w:p>
            <w:r>
              <w:rPr>
                <w:sz w:val="16"/>
              </w:rPr>
              <w:t>0.691</w:t>
            </w:r>
          </w:p>
        </w:tc>
        <w:tc>
          <w:tcPr>
            <w:tcW w:type="dxa" w:w="1361"/>
            <w:vAlign w:val="center"/>
          </w:tcPr>
          <w:p>
            <w:r>
              <w:rPr>
                <w:sz w:val="16"/>
              </w:rPr>
              <w:t>0.924</w:t>
            </w:r>
          </w:p>
        </w:tc>
      </w:tr>
      <w:tr>
        <w:trPr>
          <w:cantSplit/>
        </w:trPr>
        <w:tc>
          <w:tcPr>
            <w:tcW w:type="dxa" w:w="1020"/>
            <w:vAlign w:val="center"/>
          </w:tcPr>
          <w:p>
            <w:r>
              <w:rPr>
                <w:sz w:val="16"/>
              </w:rPr>
              <w:t>LGG</w:t>
            </w:r>
          </w:p>
        </w:tc>
        <w:tc>
          <w:tcPr>
            <w:tcW w:type="dxa" w:w="3118"/>
            <w:vAlign w:val="center"/>
          </w:tcPr>
          <w:p>
            <w:r>
              <w:rPr>
                <w:sz w:val="16"/>
              </w:rPr>
              <w:t>EGFR</w:t>
            </w:r>
          </w:p>
        </w:tc>
        <w:tc>
          <w:tcPr>
            <w:tcW w:type="dxa" w:w="1814"/>
            <w:vAlign w:val="center"/>
          </w:tcPr>
          <w:p>
            <w:r>
              <w:rPr>
                <w:sz w:val="16"/>
              </w:rPr>
              <w:t>21/288</w:t>
            </w:r>
          </w:p>
        </w:tc>
        <w:tc>
          <w:tcPr>
            <w:tcW w:type="dxa" w:w="1928"/>
            <w:vAlign w:val="center"/>
          </w:tcPr>
          <w:p>
            <w:r>
              <w:rPr>
                <w:sz w:val="16"/>
              </w:rPr>
              <w:t>5/72</w:t>
            </w:r>
          </w:p>
        </w:tc>
        <w:tc>
          <w:tcPr>
            <w:tcW w:type="dxa" w:w="2835"/>
            <w:vAlign w:val="center"/>
          </w:tcPr>
          <w:p>
            <w:r>
              <w:rPr>
                <w:sz w:val="16"/>
              </w:rPr>
              <w:t>2.0 (2.0–3.0; 2–4)</w:t>
            </w:r>
          </w:p>
        </w:tc>
        <w:tc>
          <w:tcPr>
            <w:tcW w:type="dxa" w:w="1134"/>
            <w:vAlign w:val="center"/>
          </w:tcPr>
          <w:p>
            <w:r>
              <w:rPr>
                <w:sz w:val="16"/>
              </w:rPr>
              <w:t>0.851</w:t>
            </w:r>
          </w:p>
        </w:tc>
        <w:tc>
          <w:tcPr>
            <w:tcW w:type="dxa" w:w="1361"/>
            <w:vAlign w:val="center"/>
          </w:tcPr>
          <w:p>
            <w:r>
              <w:rPr>
                <w:sz w:val="16"/>
              </w:rPr>
              <w:t>0.974</w:t>
            </w:r>
          </w:p>
        </w:tc>
      </w:tr>
      <w:tr>
        <w:trPr>
          <w:cantSplit/>
        </w:trPr>
        <w:tc>
          <w:tcPr>
            <w:tcW w:type="dxa" w:w="1020"/>
            <w:vAlign w:val="center"/>
          </w:tcPr>
          <w:p>
            <w:r>
              <w:rPr>
                <w:sz w:val="16"/>
              </w:rPr>
              <w:t>LGG</w:t>
            </w:r>
          </w:p>
        </w:tc>
        <w:tc>
          <w:tcPr>
            <w:tcW w:type="dxa" w:w="3118"/>
            <w:vAlign w:val="center"/>
          </w:tcPr>
          <w:p>
            <w:r>
              <w:rPr>
                <w:sz w:val="16"/>
              </w:rPr>
              <w:t>FUBP1</w:t>
            </w:r>
          </w:p>
        </w:tc>
        <w:tc>
          <w:tcPr>
            <w:tcW w:type="dxa" w:w="1814"/>
            <w:vAlign w:val="center"/>
          </w:tcPr>
          <w:p>
            <w:r>
              <w:rPr>
                <w:sz w:val="16"/>
              </w:rPr>
              <w:t>28/281</w:t>
            </w:r>
          </w:p>
        </w:tc>
        <w:tc>
          <w:tcPr>
            <w:tcW w:type="dxa" w:w="1928"/>
            <w:vAlign w:val="center"/>
          </w:tcPr>
          <w:p>
            <w:r>
              <w:rPr>
                <w:sz w:val="16"/>
              </w:rPr>
              <w:t>7/70</w:t>
            </w:r>
          </w:p>
        </w:tc>
        <w:tc>
          <w:tcPr>
            <w:tcW w:type="dxa" w:w="2835"/>
            <w:vAlign w:val="center"/>
          </w:tcPr>
          <w:p>
            <w:r>
              <w:rPr>
                <w:sz w:val="16"/>
              </w:rPr>
              <w:t>9.0 (7.0–9.0; 3–10)</w:t>
            </w:r>
          </w:p>
        </w:tc>
        <w:tc>
          <w:tcPr>
            <w:tcW w:type="dxa" w:w="1134"/>
            <w:vAlign w:val="center"/>
          </w:tcPr>
          <w:p>
            <w:r>
              <w:rPr>
                <w:sz w:val="16"/>
              </w:rPr>
              <w:t>0.790</w:t>
            </w:r>
          </w:p>
        </w:tc>
        <w:tc>
          <w:tcPr>
            <w:tcW w:type="dxa" w:w="1361"/>
            <w:vAlign w:val="center"/>
          </w:tcPr>
          <w:p>
            <w:r>
              <w:rPr>
                <w:sz w:val="16"/>
              </w:rPr>
              <w:t>0.938</w:t>
            </w:r>
          </w:p>
        </w:tc>
      </w:tr>
      <w:tr>
        <w:trPr>
          <w:cantSplit/>
        </w:trPr>
        <w:tc>
          <w:tcPr>
            <w:tcW w:type="dxa" w:w="1020"/>
            <w:vAlign w:val="center"/>
          </w:tcPr>
          <w:p>
            <w:r>
              <w:rPr>
                <w:sz w:val="16"/>
              </w:rPr>
              <w:t>LGG</w:t>
            </w:r>
          </w:p>
        </w:tc>
        <w:tc>
          <w:tcPr>
            <w:tcW w:type="dxa" w:w="3118"/>
            <w:vAlign w:val="center"/>
          </w:tcPr>
          <w:p>
            <w:r>
              <w:rPr>
                <w:sz w:val="16"/>
              </w:rPr>
              <w:t>PTEN</w:t>
            </w:r>
          </w:p>
        </w:tc>
        <w:tc>
          <w:tcPr>
            <w:tcW w:type="dxa" w:w="1814"/>
            <w:vAlign w:val="center"/>
          </w:tcPr>
          <w:p>
            <w:r>
              <w:rPr>
                <w:sz w:val="16"/>
              </w:rPr>
              <w:t>14/295</w:t>
            </w:r>
          </w:p>
        </w:tc>
        <w:tc>
          <w:tcPr>
            <w:tcW w:type="dxa" w:w="1928"/>
            <w:vAlign w:val="center"/>
          </w:tcPr>
          <w:p>
            <w:r>
              <w:rPr>
                <w:sz w:val="16"/>
              </w:rPr>
              <w:t>3/73</w:t>
            </w:r>
          </w:p>
        </w:tc>
        <w:tc>
          <w:tcPr>
            <w:tcW w:type="dxa" w:w="2835"/>
            <w:vAlign w:val="center"/>
          </w:tcPr>
          <w:p>
            <w:r>
              <w:rPr>
                <w:sz w:val="16"/>
              </w:rPr>
              <w:t>6.0 (5.0–8.0; 2–10)</w:t>
            </w:r>
          </w:p>
        </w:tc>
        <w:tc>
          <w:tcPr>
            <w:tcW w:type="dxa" w:w="1134"/>
            <w:vAlign w:val="center"/>
          </w:tcPr>
          <w:p>
            <w:r>
              <w:rPr>
                <w:sz w:val="16"/>
              </w:rPr>
              <w:t>0.555</w:t>
            </w:r>
          </w:p>
        </w:tc>
        <w:tc>
          <w:tcPr>
            <w:tcW w:type="dxa" w:w="1361"/>
            <w:vAlign w:val="center"/>
          </w:tcPr>
          <w:p>
            <w:r>
              <w:rPr>
                <w:sz w:val="16"/>
              </w:rPr>
              <w:t>0.969</w:t>
            </w:r>
          </w:p>
        </w:tc>
      </w:tr>
      <w:tr>
        <w:trPr>
          <w:cantSplit/>
        </w:trPr>
        <w:tc>
          <w:tcPr>
            <w:tcW w:type="dxa" w:w="1020"/>
            <w:vAlign w:val="center"/>
          </w:tcPr>
          <w:p>
            <w:r>
              <w:rPr>
                <w:sz w:val="16"/>
              </w:rPr>
              <w:t>LIHC</w:t>
            </w:r>
          </w:p>
        </w:tc>
        <w:tc>
          <w:tcPr>
            <w:tcW w:type="dxa" w:w="3118"/>
            <w:vAlign w:val="center"/>
          </w:tcPr>
          <w:p>
            <w:r>
              <w:rPr>
                <w:sz w:val="16"/>
              </w:rPr>
              <w:t>BAP1</w:t>
            </w:r>
          </w:p>
        </w:tc>
        <w:tc>
          <w:tcPr>
            <w:tcW w:type="dxa" w:w="1814"/>
            <w:vAlign w:val="center"/>
          </w:tcPr>
          <w:p>
            <w:r>
              <w:rPr>
                <w:sz w:val="16"/>
              </w:rPr>
              <w:t>12/211</w:t>
            </w:r>
          </w:p>
        </w:tc>
        <w:tc>
          <w:tcPr>
            <w:tcW w:type="dxa" w:w="1928"/>
            <w:vAlign w:val="center"/>
          </w:tcPr>
          <w:p>
            <w:r>
              <w:rPr>
                <w:sz w:val="16"/>
              </w:rPr>
              <w:t>3/52</w:t>
            </w:r>
          </w:p>
        </w:tc>
        <w:tc>
          <w:tcPr>
            <w:tcW w:type="dxa" w:w="2835"/>
            <w:vAlign w:val="center"/>
          </w:tcPr>
          <w:p>
            <w:r>
              <w:rPr>
                <w:sz w:val="16"/>
              </w:rPr>
              <w:t>3.0 (1.0–5.0; 1–10)</w:t>
            </w:r>
          </w:p>
        </w:tc>
        <w:tc>
          <w:tcPr>
            <w:tcW w:type="dxa" w:w="1134"/>
            <w:vAlign w:val="center"/>
          </w:tcPr>
          <w:p>
            <w:r>
              <w:rPr>
                <w:sz w:val="16"/>
              </w:rPr>
              <w:t>0.415</w:t>
            </w:r>
          </w:p>
        </w:tc>
        <w:tc>
          <w:tcPr>
            <w:tcW w:type="dxa" w:w="1361"/>
            <w:vAlign w:val="center"/>
          </w:tcPr>
          <w:p>
            <w:r>
              <w:rPr>
                <w:sz w:val="16"/>
              </w:rPr>
              <w:t>0.970</w:t>
            </w:r>
          </w:p>
        </w:tc>
      </w:tr>
      <w:tr>
        <w:trPr>
          <w:cantSplit/>
        </w:trPr>
        <w:tc>
          <w:tcPr>
            <w:tcW w:type="dxa" w:w="1020"/>
            <w:vAlign w:val="center"/>
          </w:tcPr>
          <w:p>
            <w:r>
              <w:rPr>
                <w:sz w:val="16"/>
              </w:rPr>
              <w:t>OV</w:t>
            </w:r>
          </w:p>
        </w:tc>
        <w:tc>
          <w:tcPr>
            <w:tcW w:type="dxa" w:w="3118"/>
            <w:vAlign w:val="center"/>
          </w:tcPr>
          <w:p>
            <w:r>
              <w:rPr>
                <w:sz w:val="16"/>
              </w:rPr>
              <w:t>TP53</w:t>
            </w:r>
          </w:p>
        </w:tc>
        <w:tc>
          <w:tcPr>
            <w:tcW w:type="dxa" w:w="1814"/>
            <w:vAlign w:val="center"/>
          </w:tcPr>
          <w:p>
            <w:r>
              <w:rPr>
                <w:sz w:val="16"/>
              </w:rPr>
              <w:t>13/32</w:t>
            </w:r>
          </w:p>
        </w:tc>
        <w:tc>
          <w:tcPr>
            <w:tcW w:type="dxa" w:w="1928"/>
            <w:vAlign w:val="center"/>
          </w:tcPr>
          <w:p>
            <w:r>
              <w:rPr>
                <w:sz w:val="16"/>
              </w:rPr>
              <w:t>3/8</w:t>
            </w:r>
          </w:p>
        </w:tc>
        <w:tc>
          <w:tcPr>
            <w:tcW w:type="dxa" w:w="2835"/>
            <w:vAlign w:val="center"/>
          </w:tcPr>
          <w:p>
            <w:r>
              <w:rPr>
                <w:sz w:val="16"/>
              </w:rPr>
              <w:t>4.0 (2.0–8.0; 1–10)</w:t>
            </w:r>
          </w:p>
        </w:tc>
        <w:tc>
          <w:tcPr>
            <w:tcW w:type="dxa" w:w="1134"/>
            <w:vAlign w:val="center"/>
          </w:tcPr>
          <w:p>
            <w:r>
              <w:rPr>
                <w:sz w:val="16"/>
              </w:rPr>
              <w:t>0.574</w:t>
            </w:r>
          </w:p>
        </w:tc>
        <w:tc>
          <w:tcPr>
            <w:tcW w:type="dxa" w:w="1361"/>
            <w:vAlign w:val="center"/>
          </w:tcPr>
          <w:p>
            <w:r>
              <w:rPr>
                <w:sz w:val="16"/>
              </w:rPr>
              <w:t>0.861</w:t>
            </w:r>
          </w:p>
        </w:tc>
      </w:tr>
      <w:tr>
        <w:trPr>
          <w:cantSplit/>
        </w:trPr>
        <w:tc>
          <w:tcPr>
            <w:tcW w:type="dxa" w:w="1020"/>
            <w:vAlign w:val="center"/>
          </w:tcPr>
          <w:p>
            <w:r>
              <w:rPr>
                <w:sz w:val="16"/>
              </w:rPr>
              <w:t>SKCM</w:t>
            </w:r>
          </w:p>
        </w:tc>
        <w:tc>
          <w:tcPr>
            <w:tcW w:type="dxa" w:w="3118"/>
            <w:vAlign w:val="center"/>
          </w:tcPr>
          <w:p>
            <w:r>
              <w:rPr>
                <w:sz w:val="16"/>
              </w:rPr>
              <w:t>BRAF</w:t>
            </w:r>
          </w:p>
        </w:tc>
        <w:tc>
          <w:tcPr>
            <w:tcW w:type="dxa" w:w="1814"/>
            <w:vAlign w:val="center"/>
          </w:tcPr>
          <w:p>
            <w:r>
              <w:rPr>
                <w:sz w:val="16"/>
              </w:rPr>
              <w:t>32/28</w:t>
            </w:r>
          </w:p>
        </w:tc>
        <w:tc>
          <w:tcPr>
            <w:tcW w:type="dxa" w:w="1928"/>
            <w:vAlign w:val="center"/>
          </w:tcPr>
          <w:p>
            <w:r>
              <w:rPr>
                <w:sz w:val="16"/>
              </w:rPr>
              <w:t>8/7</w:t>
            </w:r>
          </w:p>
        </w:tc>
        <w:tc>
          <w:tcPr>
            <w:tcW w:type="dxa" w:w="2835"/>
            <w:vAlign w:val="center"/>
          </w:tcPr>
          <w:p>
            <w:r>
              <w:rPr>
                <w:sz w:val="16"/>
              </w:rPr>
              <w:t>2.0 (1.0–3.0; 1–6)</w:t>
            </w:r>
          </w:p>
        </w:tc>
        <w:tc>
          <w:tcPr>
            <w:tcW w:type="dxa" w:w="1134"/>
            <w:vAlign w:val="center"/>
          </w:tcPr>
          <w:p>
            <w:r>
              <w:rPr>
                <w:sz w:val="16"/>
              </w:rPr>
              <w:t>0.674</w:t>
            </w:r>
          </w:p>
        </w:tc>
        <w:tc>
          <w:tcPr>
            <w:tcW w:type="dxa" w:w="1361"/>
            <w:vAlign w:val="center"/>
          </w:tcPr>
          <w:p>
            <w:r>
              <w:rPr>
                <w:sz w:val="16"/>
              </w:rPr>
              <w:t>0.778</w:t>
            </w:r>
          </w:p>
        </w:tc>
      </w:tr>
      <w:tr>
        <w:trPr>
          <w:cantSplit/>
        </w:trPr>
        <w:tc>
          <w:tcPr>
            <w:tcW w:type="dxa" w:w="1020"/>
            <w:vAlign w:val="center"/>
          </w:tcPr>
          <w:p>
            <w:r>
              <w:rPr>
                <w:sz w:val="16"/>
              </w:rPr>
              <w:t>THCA</w:t>
            </w:r>
          </w:p>
        </w:tc>
        <w:tc>
          <w:tcPr>
            <w:tcW w:type="dxa" w:w="3118"/>
            <w:vAlign w:val="center"/>
          </w:tcPr>
          <w:p>
            <w:r>
              <w:rPr>
                <w:sz w:val="16"/>
              </w:rPr>
              <w:t>NRAS</w:t>
            </w:r>
          </w:p>
        </w:tc>
        <w:tc>
          <w:tcPr>
            <w:tcW w:type="dxa" w:w="1814"/>
            <w:vAlign w:val="center"/>
          </w:tcPr>
          <w:p>
            <w:r>
              <w:rPr>
                <w:sz w:val="16"/>
              </w:rPr>
              <w:t>24/288</w:t>
            </w:r>
          </w:p>
        </w:tc>
        <w:tc>
          <w:tcPr>
            <w:tcW w:type="dxa" w:w="1928"/>
            <w:vAlign w:val="center"/>
          </w:tcPr>
          <w:p>
            <w:r>
              <w:rPr>
                <w:sz w:val="16"/>
              </w:rPr>
              <w:t>6/72</w:t>
            </w:r>
          </w:p>
        </w:tc>
        <w:tc>
          <w:tcPr>
            <w:tcW w:type="dxa" w:w="2835"/>
            <w:vAlign w:val="center"/>
          </w:tcPr>
          <w:p>
            <w:r>
              <w:rPr>
                <w:sz w:val="16"/>
              </w:rPr>
              <w:t>7.0 (6.0–9.0; 3–10)</w:t>
            </w:r>
          </w:p>
        </w:tc>
        <w:tc>
          <w:tcPr>
            <w:tcW w:type="dxa" w:w="1134"/>
            <w:vAlign w:val="center"/>
          </w:tcPr>
          <w:p>
            <w:r>
              <w:rPr>
                <w:sz w:val="16"/>
              </w:rPr>
              <w:t>0.682</w:t>
            </w:r>
          </w:p>
        </w:tc>
        <w:tc>
          <w:tcPr>
            <w:tcW w:type="dxa" w:w="1361"/>
            <w:vAlign w:val="center"/>
          </w:tcPr>
          <w:p>
            <w:r>
              <w:rPr>
                <w:sz w:val="16"/>
              </w:rPr>
              <w:t>0.951</w:t>
            </w:r>
          </w:p>
        </w:tc>
      </w:tr>
      <w:tr>
        <w:trPr>
          <w:cantSplit/>
        </w:trPr>
        <w:tc>
          <w:tcPr>
            <w:tcW w:type="dxa" w:w="1020"/>
            <w:vAlign w:val="center"/>
          </w:tcPr>
          <w:p>
            <w:r>
              <w:rPr>
                <w:sz w:val="16"/>
              </w:rPr>
              <w:t>SARC</w:t>
            </w:r>
          </w:p>
        </w:tc>
        <w:tc>
          <w:tcPr>
            <w:tcW w:type="dxa" w:w="3118"/>
            <w:vAlign w:val="center"/>
          </w:tcPr>
          <w:p>
            <w:r>
              <w:rPr>
                <w:sz w:val="16"/>
              </w:rPr>
              <w:t>Any called fusion</w:t>
            </w:r>
          </w:p>
        </w:tc>
        <w:tc>
          <w:tcPr>
            <w:tcW w:type="dxa" w:w="1814"/>
            <w:vAlign w:val="center"/>
          </w:tcPr>
          <w:p>
            <w:r>
              <w:rPr>
                <w:sz w:val="16"/>
              </w:rPr>
              <w:t>137/22</w:t>
            </w:r>
          </w:p>
        </w:tc>
        <w:tc>
          <w:tcPr>
            <w:tcW w:type="dxa" w:w="1928"/>
            <w:vAlign w:val="center"/>
          </w:tcPr>
          <w:p>
            <w:r>
              <w:rPr>
                <w:sz w:val="16"/>
              </w:rPr>
              <w:t>34/5</w:t>
            </w:r>
          </w:p>
        </w:tc>
        <w:tc>
          <w:tcPr>
            <w:tcW w:type="dxa" w:w="2835"/>
            <w:vAlign w:val="center"/>
          </w:tcPr>
          <w:p>
            <w:r>
              <w:rPr>
                <w:sz w:val="16"/>
              </w:rPr>
              <w:t>7.0 (6.0–8.0; 2–10)</w:t>
            </w:r>
          </w:p>
        </w:tc>
        <w:tc>
          <w:tcPr>
            <w:tcW w:type="dxa" w:w="1134"/>
            <w:vAlign w:val="center"/>
          </w:tcPr>
          <w:p>
            <w:r>
              <w:rPr>
                <w:sz w:val="16"/>
              </w:rPr>
              <w:t>0.661</w:t>
            </w:r>
          </w:p>
        </w:tc>
        <w:tc>
          <w:tcPr>
            <w:tcW w:type="dxa" w:w="1361"/>
            <w:vAlign w:val="center"/>
          </w:tcPr>
          <w:p>
            <w:r>
              <w:rPr>
                <w:sz w:val="16"/>
              </w:rPr>
              <w:t>0.896</w:t>
            </w:r>
          </w:p>
        </w:tc>
      </w:tr>
      <w:tr>
        <w:trPr>
          <w:cantSplit/>
        </w:trPr>
        <w:tc>
          <w:tcPr>
            <w:tcW w:type="dxa" w:w="1020"/>
            <w:vAlign w:val="center"/>
          </w:tcPr>
          <w:p>
            <w:r>
              <w:rPr>
                <w:sz w:val="16"/>
              </w:rPr>
              <w:t>THCA</w:t>
            </w:r>
          </w:p>
        </w:tc>
        <w:tc>
          <w:tcPr>
            <w:tcW w:type="dxa" w:w="3118"/>
            <w:vAlign w:val="center"/>
          </w:tcPr>
          <w:p>
            <w:r>
              <w:rPr>
                <w:sz w:val="16"/>
              </w:rPr>
              <w:t>Fusion pair: CCDC6--RET</w:t>
            </w:r>
          </w:p>
        </w:tc>
        <w:tc>
          <w:tcPr>
            <w:tcW w:type="dxa" w:w="1814"/>
            <w:vAlign w:val="center"/>
          </w:tcPr>
          <w:p>
            <w:r>
              <w:rPr>
                <w:sz w:val="16"/>
              </w:rPr>
              <w:t>12/307</w:t>
            </w:r>
          </w:p>
        </w:tc>
        <w:tc>
          <w:tcPr>
            <w:tcW w:type="dxa" w:w="1928"/>
            <w:vAlign w:val="center"/>
          </w:tcPr>
          <w:p>
            <w:r>
              <w:rPr>
                <w:sz w:val="16"/>
              </w:rPr>
              <w:t>3/76</w:t>
            </w:r>
          </w:p>
        </w:tc>
        <w:tc>
          <w:tcPr>
            <w:tcW w:type="dxa" w:w="2835"/>
            <w:vAlign w:val="center"/>
          </w:tcPr>
          <w:p>
            <w:r>
              <w:rPr>
                <w:sz w:val="16"/>
              </w:rPr>
              <w:t>9.0 (7.0–9.0; 4–10)</w:t>
            </w:r>
          </w:p>
        </w:tc>
        <w:tc>
          <w:tcPr>
            <w:tcW w:type="dxa" w:w="1134"/>
            <w:vAlign w:val="center"/>
          </w:tcPr>
          <w:p>
            <w:r>
              <w:rPr>
                <w:sz w:val="16"/>
              </w:rPr>
              <w:t>0.735</w:t>
            </w:r>
          </w:p>
        </w:tc>
        <w:tc>
          <w:tcPr>
            <w:tcW w:type="dxa" w:w="1361"/>
            <w:vAlign w:val="center"/>
          </w:tcPr>
          <w:p>
            <w:r>
              <w:rPr>
                <w:sz w:val="16"/>
              </w:rPr>
              <w:t>0.984</w:t>
            </w:r>
          </w:p>
        </w:tc>
      </w:tr>
      <w:tr>
        <w:trPr>
          <w:cantSplit/>
        </w:trPr>
        <w:tc>
          <w:tcPr>
            <w:tcW w:type="dxa" w:w="1020"/>
            <w:vAlign w:val="center"/>
          </w:tcPr>
          <w:p>
            <w:r>
              <w:rPr>
                <w:sz w:val="16"/>
              </w:rPr>
              <w:t>GBM</w:t>
            </w:r>
          </w:p>
        </w:tc>
        <w:tc>
          <w:tcPr>
            <w:tcW w:type="dxa" w:w="3118"/>
            <w:vAlign w:val="center"/>
          </w:tcPr>
          <w:p>
            <w:r>
              <w:rPr>
                <w:sz w:val="16"/>
              </w:rPr>
              <w:t>TP53</w:t>
            </w:r>
          </w:p>
        </w:tc>
        <w:tc>
          <w:tcPr>
            <w:tcW w:type="dxa" w:w="1814"/>
            <w:vAlign w:val="center"/>
          </w:tcPr>
          <w:p>
            <w:r>
              <w:rPr>
                <w:sz w:val="16"/>
              </w:rPr>
              <w:t>24/20</w:t>
            </w:r>
          </w:p>
        </w:tc>
        <w:tc>
          <w:tcPr>
            <w:tcW w:type="dxa" w:w="1928"/>
            <w:vAlign w:val="center"/>
          </w:tcPr>
          <w:p>
            <w:r>
              <w:rPr>
                <w:sz w:val="16"/>
              </w:rPr>
              <w:t>6/5</w:t>
            </w:r>
          </w:p>
        </w:tc>
        <w:tc>
          <w:tcPr>
            <w:tcW w:type="dxa" w:w="2835"/>
            <w:vAlign w:val="center"/>
          </w:tcPr>
          <w:p>
            <w:r>
              <w:rPr>
                <w:sz w:val="16"/>
              </w:rPr>
              <w:t>3.0 (2.0–6.0; 1–10)</w:t>
            </w:r>
          </w:p>
        </w:tc>
        <w:tc>
          <w:tcPr>
            <w:tcW w:type="dxa" w:w="1134"/>
            <w:vAlign w:val="center"/>
          </w:tcPr>
          <w:p>
            <w:r>
              <w:rPr>
                <w:sz w:val="16"/>
              </w:rPr>
              <w:t>0.662</w:t>
            </w:r>
          </w:p>
        </w:tc>
        <w:tc>
          <w:tcPr>
            <w:tcW w:type="dxa" w:w="1361"/>
            <w:vAlign w:val="center"/>
          </w:tcPr>
          <w:p>
            <w:r>
              <w:rPr>
                <w:sz w:val="16"/>
              </w:rPr>
              <w:t>0.763</w:t>
            </w:r>
          </w:p>
        </w:tc>
      </w:tr>
      <w:tr>
        <w:trPr>
          <w:cantSplit/>
        </w:trPr>
        <w:tc>
          <w:tcPr>
            <w:tcW w:type="dxa" w:w="1020"/>
            <w:vAlign w:val="center"/>
          </w:tcPr>
          <w:p>
            <w:r>
              <w:rPr>
                <w:sz w:val="16"/>
              </w:rPr>
              <w:t>KIRC</w:t>
            </w:r>
          </w:p>
        </w:tc>
        <w:tc>
          <w:tcPr>
            <w:tcW w:type="dxa" w:w="3118"/>
            <w:vAlign w:val="center"/>
          </w:tcPr>
          <w:p>
            <w:r>
              <w:rPr>
                <w:sz w:val="16"/>
              </w:rPr>
              <w:t>WNT</w:t>
            </w:r>
          </w:p>
        </w:tc>
        <w:tc>
          <w:tcPr>
            <w:tcW w:type="dxa" w:w="1814"/>
            <w:vAlign w:val="center"/>
          </w:tcPr>
          <w:p>
            <w:r>
              <w:rPr>
                <w:sz w:val="16"/>
              </w:rPr>
              <w:t>14/200</w:t>
            </w:r>
          </w:p>
        </w:tc>
        <w:tc>
          <w:tcPr>
            <w:tcW w:type="dxa" w:w="1928"/>
            <w:vAlign w:val="center"/>
          </w:tcPr>
          <w:p>
            <w:r>
              <w:rPr>
                <w:sz w:val="16"/>
              </w:rPr>
              <w:t>3/50</w:t>
            </w:r>
          </w:p>
        </w:tc>
        <w:tc>
          <w:tcPr>
            <w:tcW w:type="dxa" w:w="2835"/>
            <w:vAlign w:val="center"/>
          </w:tcPr>
          <w:p>
            <w:r>
              <w:rPr>
                <w:sz w:val="16"/>
              </w:rPr>
              <w:t>4.0 (3.0–6.0; 1–8)</w:t>
            </w:r>
          </w:p>
        </w:tc>
        <w:tc>
          <w:tcPr>
            <w:tcW w:type="dxa" w:w="1134"/>
            <w:vAlign w:val="center"/>
          </w:tcPr>
          <w:p>
            <w:r>
              <w:rPr>
                <w:sz w:val="16"/>
              </w:rPr>
              <w:t>0.513</w:t>
            </w:r>
          </w:p>
        </w:tc>
        <w:tc>
          <w:tcPr>
            <w:tcW w:type="dxa" w:w="1361"/>
            <w:vAlign w:val="center"/>
          </w:tcPr>
          <w:p>
            <w:r>
              <w:rPr>
                <w:sz w:val="16"/>
              </w:rPr>
              <w:t>0.971</w:t>
            </w:r>
          </w:p>
        </w:tc>
      </w:tr>
      <w:tr>
        <w:trPr>
          <w:cantSplit/>
        </w:trPr>
        <w:tc>
          <w:tcPr>
            <w:tcW w:type="dxa" w:w="1020"/>
            <w:vAlign w:val="center"/>
          </w:tcPr>
          <w:p>
            <w:r>
              <w:rPr>
                <w:sz w:val="16"/>
              </w:rPr>
              <w:t>KIRP</w:t>
            </w:r>
          </w:p>
        </w:tc>
        <w:tc>
          <w:tcPr>
            <w:tcW w:type="dxa" w:w="3118"/>
            <w:vAlign w:val="center"/>
          </w:tcPr>
          <w:p>
            <w:r>
              <w:rPr>
                <w:sz w:val="16"/>
              </w:rPr>
              <w:t>Cell Cycle</w:t>
            </w:r>
          </w:p>
        </w:tc>
        <w:tc>
          <w:tcPr>
            <w:tcW w:type="dxa" w:w="1814"/>
            <w:vAlign w:val="center"/>
          </w:tcPr>
          <w:p>
            <w:r>
              <w:rPr>
                <w:sz w:val="16"/>
              </w:rPr>
              <w:t>19/135</w:t>
            </w:r>
          </w:p>
        </w:tc>
        <w:tc>
          <w:tcPr>
            <w:tcW w:type="dxa" w:w="1928"/>
            <w:vAlign w:val="center"/>
          </w:tcPr>
          <w:p>
            <w:r>
              <w:rPr>
                <w:sz w:val="16"/>
              </w:rPr>
              <w:t>4/33</w:t>
            </w:r>
          </w:p>
        </w:tc>
        <w:tc>
          <w:tcPr>
            <w:tcW w:type="dxa" w:w="2835"/>
            <w:vAlign w:val="center"/>
          </w:tcPr>
          <w:p>
            <w:r>
              <w:rPr>
                <w:sz w:val="16"/>
              </w:rPr>
              <w:t>3.0 (3.0–4.0; 2–10)</w:t>
            </w:r>
          </w:p>
        </w:tc>
        <w:tc>
          <w:tcPr>
            <w:tcW w:type="dxa" w:w="1134"/>
            <w:vAlign w:val="center"/>
          </w:tcPr>
          <w:p>
            <w:r>
              <w:rPr>
                <w:sz w:val="16"/>
              </w:rPr>
              <w:t>0.731</w:t>
            </w:r>
          </w:p>
        </w:tc>
        <w:tc>
          <w:tcPr>
            <w:tcW w:type="dxa" w:w="1361"/>
            <w:vAlign w:val="center"/>
          </w:tcPr>
          <w:p>
            <w:r>
              <w:rPr>
                <w:sz w:val="16"/>
              </w:rPr>
              <w:t>0.951</w:t>
            </w:r>
          </w:p>
        </w:tc>
      </w:tr>
      <w:tr>
        <w:trPr>
          <w:cantSplit/>
        </w:trPr>
        <w:tc>
          <w:tcPr>
            <w:tcW w:type="dxa" w:w="1020"/>
            <w:vAlign w:val="center"/>
          </w:tcPr>
          <w:p>
            <w:r>
              <w:rPr>
                <w:sz w:val="16"/>
              </w:rPr>
              <w:t>PCPG</w:t>
            </w:r>
          </w:p>
        </w:tc>
        <w:tc>
          <w:tcPr>
            <w:tcW w:type="dxa" w:w="3118"/>
            <w:vAlign w:val="center"/>
          </w:tcPr>
          <w:p>
            <w:r>
              <w:rPr>
                <w:sz w:val="16"/>
              </w:rPr>
              <w:t>Cell Cycle</w:t>
            </w:r>
          </w:p>
        </w:tc>
        <w:tc>
          <w:tcPr>
            <w:tcW w:type="dxa" w:w="1814"/>
            <w:vAlign w:val="center"/>
          </w:tcPr>
          <w:p>
            <w:r>
              <w:rPr>
                <w:sz w:val="16"/>
              </w:rPr>
              <w:t>14/84</w:t>
            </w:r>
          </w:p>
        </w:tc>
        <w:tc>
          <w:tcPr>
            <w:tcW w:type="dxa" w:w="1928"/>
            <w:vAlign w:val="center"/>
          </w:tcPr>
          <w:p>
            <w:r>
              <w:rPr>
                <w:sz w:val="16"/>
              </w:rPr>
              <w:t>3/21</w:t>
            </w:r>
          </w:p>
        </w:tc>
        <w:tc>
          <w:tcPr>
            <w:tcW w:type="dxa" w:w="2835"/>
            <w:vAlign w:val="center"/>
          </w:tcPr>
          <w:p>
            <w:r>
              <w:rPr>
                <w:sz w:val="16"/>
              </w:rPr>
              <w:t>8.0 (6.0–9.0; 4–10)</w:t>
            </w:r>
          </w:p>
        </w:tc>
        <w:tc>
          <w:tcPr>
            <w:tcW w:type="dxa" w:w="1134"/>
            <w:vAlign w:val="center"/>
          </w:tcPr>
          <w:p>
            <w:r>
              <w:rPr>
                <w:sz w:val="16"/>
              </w:rPr>
              <w:t>0.708</w:t>
            </w:r>
          </w:p>
        </w:tc>
        <w:tc>
          <w:tcPr>
            <w:tcW w:type="dxa" w:w="1361"/>
            <w:vAlign w:val="center"/>
          </w:tcPr>
          <w:p>
            <w:r>
              <w:rPr>
                <w:sz w:val="16"/>
              </w:rPr>
              <w:t>0.880</w:t>
            </w:r>
          </w:p>
        </w:tc>
      </w:tr>
    </w:tbl>
    <w:p/>
    <w:p>
      <w:pPr>
        <w:sectPr>
          <w:pgSz w:w="16838" w:h="11906" w:orient="landscape"/>
          <w:pgMar w:top="850" w:right="850" w:bottom="850" w:left="850" w:header="720" w:footer="720" w:gutter="0"/>
          <w:cols w:space="720"/>
          <w:docGrid w:linePitch="360"/>
          <w:lnNumType w:countBy="1" w:restart="continuous"/>
          <w:lnNumType w:countBy="1" w:restart="continuous"/>
        </w:sectPr>
      </w:pPr>
    </w:p>
    <w:p>
      <w:pPr>
        <w:jc w:val="center"/>
      </w:pPr>
      <w:r>
        <w:drawing>
          <wp:inline xmlns:a="http://schemas.openxmlformats.org/drawingml/2006/main" xmlns:pic="http://schemas.openxmlformats.org/drawingml/2006/picture">
            <wp:extent cx="5806440" cy="6998834"/>
            <wp:docPr id="1" name="Picture 1"/>
            <wp:cNvGraphicFramePr>
              <a:graphicFrameLocks noChangeAspect="1"/>
            </wp:cNvGraphicFramePr>
            <a:graphic>
              <a:graphicData uri="http://schemas.openxmlformats.org/drawingml/2006/picture">
                <pic:pic>
                  <pic:nvPicPr>
                    <pic:cNvPr id="0" name="FigureS3_binary_class_reliability.png"/>
                    <pic:cNvPicPr/>
                  </pic:nvPicPr>
                  <pic:blipFill>
                    <a:blip r:embed="rId11"/>
                    <a:stretch>
                      <a:fillRect/>
                    </a:stretch>
                  </pic:blipFill>
                  <pic:spPr>
                    <a:xfrm>
                      <a:off x="0" y="0"/>
                      <a:ext cx="5806440" cy="6998834"/>
                    </a:xfrm>
                    <a:prstGeom prst="rect"/>
                  </pic:spPr>
                </pic:pic>
              </a:graphicData>
            </a:graphic>
          </wp:inline>
        </w:drawing>
      </w:r>
    </w:p>
    <w:p>
      <w:pPr>
        <w:pStyle w:val="Caption"/>
        <w:jc w:val="center"/>
      </w:pPr>
      <w:r>
        <w:t>Figure S3. Binary class-size reliability. Panel A shows fixed-test-fold learning curves for all 17 exploratory/limited-evidence models at 50%, 75% and 100% of each outer-training set. Panel B shows selected components across the 25 repeated outer fits per model. Panel C compares repeat score correlation and class-call agreement; high agreement under imbalance should not be interpreted without the continuous-score stability and class-specific metrics.</w:t>
      </w:r>
    </w:p>
    <w:p>
      <w:pPr>
        <w:pStyle w:val="Heading1"/>
      </w:pPr>
      <w:r>
        <w:t>Table S11. Prior histology-based molecular and derived immune-feature prediction landscape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cantSplit/>
        </w:trPr>
        <w:tc>
          <w:tcPr>
            <w:tcW w:type="dxa" w:w="1176"/>
          </w:tcPr>
          <w:p>
            <w:r>
              <w:rPr>
                <w:b/>
                <w:sz w:val="17"/>
              </w:rPr>
              <w:t>Study</w:t>
            </w:r>
          </w:p>
        </w:tc>
        <w:tc>
          <w:tcPr>
            <w:tcW w:type="dxa" w:w="1176"/>
          </w:tcPr>
          <w:p>
            <w:r>
              <w:rPr>
                <w:b/>
                <w:sz w:val="17"/>
              </w:rPr>
              <w:t>Year</w:t>
            </w:r>
          </w:p>
        </w:tc>
        <w:tc>
          <w:tcPr>
            <w:tcW w:type="dxa" w:w="1176"/>
          </w:tcPr>
          <w:p>
            <w:r>
              <w:rPr>
                <w:b/>
                <w:sz w:val="17"/>
              </w:rPr>
              <w:t>Scope</w:t>
            </w:r>
          </w:p>
        </w:tc>
        <w:tc>
          <w:tcPr>
            <w:tcW w:type="dxa" w:w="1176"/>
          </w:tcPr>
          <w:p>
            <w:r>
              <w:rPr>
                <w:b/>
                <w:sz w:val="17"/>
              </w:rPr>
              <w:t>Endpoints</w:t>
            </w:r>
          </w:p>
        </w:tc>
        <w:tc>
          <w:tcPr>
            <w:tcW w:type="dxa" w:w="1176"/>
          </w:tcPr>
          <w:p>
            <w:r>
              <w:rPr>
                <w:b/>
                <w:sz w:val="17"/>
              </w:rPr>
              <w:t>Development cohort</w:t>
            </w:r>
          </w:p>
        </w:tc>
        <w:tc>
          <w:tcPr>
            <w:tcW w:type="dxa" w:w="1176"/>
          </w:tcPr>
          <w:p>
            <w:r>
              <w:rPr>
                <w:b/>
                <w:sz w:val="17"/>
              </w:rPr>
              <w:t>External validation</w:t>
            </w:r>
          </w:p>
        </w:tc>
        <w:tc>
          <w:tcPr>
            <w:tcW w:type="dxa" w:w="1176"/>
          </w:tcPr>
          <w:p>
            <w:r>
              <w:rPr>
                <w:b/>
                <w:sz w:val="17"/>
              </w:rPr>
              <w:t>Reported performance</w:t>
            </w:r>
          </w:p>
        </w:tc>
        <w:tc>
          <w:tcPr>
            <w:tcW w:type="dxa" w:w="1176"/>
          </w:tcPr>
          <w:p>
            <w:r>
              <w:rPr>
                <w:b/>
                <w:sz w:val="17"/>
              </w:rPr>
              <w:t>DOI</w:t>
            </w:r>
          </w:p>
        </w:tc>
      </w:tr>
      <w:tr>
        <w:trPr>
          <w:cantSplit/>
        </w:trPr>
        <w:tc>
          <w:tcPr>
            <w:tcW w:type="dxa" w:w="1176"/>
            <w:vAlign w:val="center"/>
          </w:tcPr>
          <w:p>
            <w:r>
              <w:rPr>
                <w:sz w:val="16"/>
              </w:rPr>
              <w:t>Coudray et al.</w:t>
            </w:r>
          </w:p>
        </w:tc>
        <w:tc>
          <w:tcPr>
            <w:tcW w:type="dxa" w:w="1176"/>
            <w:vAlign w:val="center"/>
          </w:tcPr>
          <w:p>
            <w:r>
              <w:rPr>
                <w:sz w:val="16"/>
              </w:rPr>
              <w:t>2018</w:t>
            </w:r>
          </w:p>
        </w:tc>
        <w:tc>
          <w:tcPr>
            <w:tcW w:type="dxa" w:w="1176"/>
            <w:vAlign w:val="center"/>
          </w:tcPr>
          <w:p>
            <w:r>
              <w:rPr>
                <w:sz w:val="16"/>
              </w:rPr>
              <w:t>NSCLC and LUAD</w:t>
            </w:r>
          </w:p>
        </w:tc>
        <w:tc>
          <w:tcPr>
            <w:tcW w:type="dxa" w:w="1176"/>
            <w:vAlign w:val="center"/>
          </w:tcPr>
          <w:p>
            <w:r>
              <w:rPr>
                <w:sz w:val="16"/>
              </w:rPr>
              <w:t>Histological class and recurrent LUAD mutations</w:t>
            </w:r>
          </w:p>
        </w:tc>
        <w:tc>
          <w:tcPr>
            <w:tcW w:type="dxa" w:w="1176"/>
            <w:vAlign w:val="center"/>
          </w:tcPr>
          <w:p>
            <w:r>
              <w:rPr>
                <w:sz w:val="16"/>
              </w:rPr>
              <w:t>TCGA</w:t>
            </w:r>
          </w:p>
        </w:tc>
        <w:tc>
          <w:tcPr>
            <w:tcW w:type="dxa" w:w="1176"/>
            <w:vAlign w:val="center"/>
          </w:tcPr>
          <w:p>
            <w:r>
              <w:rPr>
                <w:sz w:val="16"/>
              </w:rPr>
              <w:t>Independent NYU cohort for histological classification; mutation models primarily TCGA held-out</w:t>
            </w:r>
          </w:p>
        </w:tc>
        <w:tc>
          <w:tcPr>
            <w:tcW w:type="dxa" w:w="1176"/>
            <w:vAlign w:val="center"/>
          </w:tcPr>
          <w:p>
            <w:r>
              <w:rPr>
                <w:sz w:val="16"/>
              </w:rPr>
              <w:t>Mutation AUROCs varied by gene; six recurrent genes were reported as discriminable</w:t>
            </w:r>
          </w:p>
        </w:tc>
        <w:tc>
          <w:tcPr>
            <w:tcW w:type="dxa" w:w="1176"/>
            <w:vAlign w:val="center"/>
          </w:tcPr>
          <w:p>
            <w:r>
              <w:rPr>
                <w:sz w:val="16"/>
              </w:rPr>
              <w:t>10.1038/s41591-018-0177-5</w:t>
            </w:r>
          </w:p>
        </w:tc>
      </w:tr>
      <w:tr>
        <w:trPr>
          <w:cantSplit/>
        </w:trPr>
        <w:tc>
          <w:tcPr>
            <w:tcW w:type="dxa" w:w="1176"/>
            <w:vAlign w:val="center"/>
          </w:tcPr>
          <w:p>
            <w:r>
              <w:rPr>
                <w:sz w:val="16"/>
              </w:rPr>
              <w:t>Kather et al.</w:t>
            </w:r>
          </w:p>
        </w:tc>
        <w:tc>
          <w:tcPr>
            <w:tcW w:type="dxa" w:w="1176"/>
            <w:vAlign w:val="center"/>
          </w:tcPr>
          <w:p>
            <w:r>
              <w:rPr>
                <w:sz w:val="16"/>
              </w:rPr>
              <w:t>2019</w:t>
            </w:r>
          </w:p>
        </w:tc>
        <w:tc>
          <w:tcPr>
            <w:tcW w:type="dxa" w:w="1176"/>
            <w:vAlign w:val="center"/>
          </w:tcPr>
          <w:p>
            <w:r>
              <w:rPr>
                <w:sz w:val="16"/>
              </w:rPr>
              <w:t>Gastrointestinal cancers and UCEC</w:t>
            </w:r>
          </w:p>
        </w:tc>
        <w:tc>
          <w:tcPr>
            <w:tcW w:type="dxa" w:w="1176"/>
            <w:vAlign w:val="center"/>
          </w:tcPr>
          <w:p>
            <w:r>
              <w:rPr>
                <w:sz w:val="16"/>
              </w:rPr>
              <w:t>MSI status</w:t>
            </w:r>
          </w:p>
        </w:tc>
        <w:tc>
          <w:tcPr>
            <w:tcW w:type="dxa" w:w="1176"/>
            <w:vAlign w:val="center"/>
          </w:tcPr>
          <w:p>
            <w:r>
              <w:rPr>
                <w:sz w:val="16"/>
              </w:rPr>
              <w:t>TCGA CRC and STAD</w:t>
            </w:r>
          </w:p>
        </w:tc>
        <w:tc>
          <w:tcPr>
            <w:tcW w:type="dxa" w:w="1176"/>
            <w:vAlign w:val="center"/>
          </w:tcPr>
          <w:p>
            <w:r>
              <w:rPr>
                <w:sz w:val="16"/>
              </w:rPr>
              <w:t>DACHS CRC (n=378) and KCCH gastric (n=185)</w:t>
            </w:r>
          </w:p>
        </w:tc>
        <w:tc>
          <w:tcPr>
            <w:tcW w:type="dxa" w:w="1176"/>
            <w:vAlign w:val="center"/>
          </w:tcPr>
          <w:p>
            <w:r>
              <w:rPr>
                <w:sz w:val="16"/>
              </w:rPr>
              <w:t>DACHS CRC AUROC 0.84 (95% CI 0.72-0.92); KCCH gastric AUROC 0.69 (0.52-0.82); held-out UCEC AUROC 0.75 (0.63-0.83)</w:t>
            </w:r>
          </w:p>
        </w:tc>
        <w:tc>
          <w:tcPr>
            <w:tcW w:type="dxa" w:w="1176"/>
            <w:vAlign w:val="center"/>
          </w:tcPr>
          <w:p>
            <w:r>
              <w:rPr>
                <w:sz w:val="16"/>
              </w:rPr>
              <w:t>10.1038/s41591-019-0462-y</w:t>
            </w:r>
          </w:p>
        </w:tc>
      </w:tr>
      <w:tr>
        <w:trPr>
          <w:cantSplit/>
        </w:trPr>
        <w:tc>
          <w:tcPr>
            <w:tcW w:type="dxa" w:w="1176"/>
            <w:vAlign w:val="center"/>
          </w:tcPr>
          <w:p>
            <w:r>
              <w:rPr>
                <w:sz w:val="16"/>
              </w:rPr>
              <w:t>Echle et al.</w:t>
            </w:r>
          </w:p>
        </w:tc>
        <w:tc>
          <w:tcPr>
            <w:tcW w:type="dxa" w:w="1176"/>
            <w:vAlign w:val="center"/>
          </w:tcPr>
          <w:p>
            <w:r>
              <w:rPr>
                <w:sz w:val="16"/>
              </w:rPr>
              <w:t>2020</w:t>
            </w:r>
          </w:p>
        </w:tc>
        <w:tc>
          <w:tcPr>
            <w:tcW w:type="dxa" w:w="1176"/>
            <w:vAlign w:val="center"/>
          </w:tcPr>
          <w:p>
            <w:r>
              <w:rPr>
                <w:sz w:val="16"/>
              </w:rPr>
              <w:t>Colorectal cancer</w:t>
            </w:r>
          </w:p>
        </w:tc>
        <w:tc>
          <w:tcPr>
            <w:tcW w:type="dxa" w:w="1176"/>
            <w:vAlign w:val="center"/>
          </w:tcPr>
          <w:p>
            <w:r>
              <w:rPr>
                <w:sz w:val="16"/>
              </w:rPr>
              <w:t>MSI/dMMR</w:t>
            </w:r>
          </w:p>
        </w:tc>
        <w:tc>
          <w:tcPr>
            <w:tcW w:type="dxa" w:w="1176"/>
            <w:vAlign w:val="center"/>
          </w:tcPr>
          <w:p>
            <w:r>
              <w:rPr>
                <w:sz w:val="16"/>
              </w:rPr>
              <w:t>International multicentre cohort (n=6406)</w:t>
            </w:r>
          </w:p>
        </w:tc>
        <w:tc>
          <w:tcPr>
            <w:tcW w:type="dxa" w:w="1176"/>
            <w:vAlign w:val="center"/>
          </w:tcPr>
          <w:p>
            <w:r>
              <w:rPr>
                <w:sz w:val="16"/>
              </w:rPr>
              <w:t>Independent YCR-BCIP cohort (n=771)</w:t>
            </w:r>
          </w:p>
        </w:tc>
        <w:tc>
          <w:tcPr>
            <w:tcW w:type="dxa" w:w="1176"/>
            <w:vAlign w:val="center"/>
          </w:tcPr>
          <w:p>
            <w:r>
              <w:rPr>
                <w:sz w:val="16"/>
              </w:rPr>
              <w:t>Cross-validation AUROC about 0.92; external dMMR AUROC 0.96</w:t>
            </w:r>
          </w:p>
        </w:tc>
        <w:tc>
          <w:tcPr>
            <w:tcW w:type="dxa" w:w="1176"/>
            <w:vAlign w:val="center"/>
          </w:tcPr>
          <w:p>
            <w:r>
              <w:rPr>
                <w:sz w:val="16"/>
              </w:rPr>
              <w:t>10.1053/j.gastro.2020.06.021</w:t>
            </w:r>
          </w:p>
        </w:tc>
      </w:tr>
      <w:tr>
        <w:trPr>
          <w:cantSplit/>
        </w:trPr>
        <w:tc>
          <w:tcPr>
            <w:tcW w:type="dxa" w:w="1176"/>
            <w:vAlign w:val="center"/>
          </w:tcPr>
          <w:p>
            <w:r>
              <w:rPr>
                <w:sz w:val="16"/>
              </w:rPr>
              <w:t>Fu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copy-number changes tumor composition and prognosis</w:t>
            </w:r>
          </w:p>
        </w:tc>
        <w:tc>
          <w:tcPr>
            <w:tcW w:type="dxa" w:w="1176"/>
            <w:vAlign w:val="center"/>
          </w:tcPr>
          <w:p>
            <w:r>
              <w:rPr>
                <w:sz w:val="16"/>
              </w:rPr>
              <w:t>TCGA across 28 cancers</w:t>
            </w:r>
          </w:p>
        </w:tc>
        <w:tc>
          <w:tcPr>
            <w:tcW w:type="dxa" w:w="1176"/>
            <w:vAlign w:val="center"/>
          </w:tcPr>
          <w:p>
            <w:r>
              <w:rPr>
                <w:sz w:val="16"/>
              </w:rPr>
              <w:t>None outside TCGA for the pan-cancer atlas</w:t>
            </w:r>
          </w:p>
        </w:tc>
        <w:tc>
          <w:tcPr>
            <w:tcW w:type="dxa" w:w="1176"/>
            <w:vAlign w:val="center"/>
          </w:tcPr>
          <w:p>
            <w:r>
              <w:rPr>
                <w:sz w:val="16"/>
              </w:rPr>
              <w:t>Endpoint-specific AUROCs reported</w:t>
            </w:r>
          </w:p>
        </w:tc>
        <w:tc>
          <w:tcPr>
            <w:tcW w:type="dxa" w:w="1176"/>
            <w:vAlign w:val="center"/>
          </w:tcPr>
          <w:p>
            <w:r>
              <w:rPr>
                <w:sz w:val="16"/>
              </w:rPr>
              <w:t>10.1038/s43018-020-0085-8</w:t>
            </w:r>
          </w:p>
        </w:tc>
      </w:tr>
      <w:tr>
        <w:trPr>
          <w:cantSplit/>
        </w:trPr>
        <w:tc>
          <w:tcPr>
            <w:tcW w:type="dxa" w:w="1176"/>
            <w:vAlign w:val="center"/>
          </w:tcPr>
          <w:p>
            <w:r>
              <w:rPr>
                <w:sz w:val="16"/>
              </w:rPr>
              <w:t>Kather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Mutations molecular subtypes expression signatures and standard biomarkers</w:t>
            </w:r>
          </w:p>
        </w:tc>
        <w:tc>
          <w:tcPr>
            <w:tcW w:type="dxa" w:w="1176"/>
            <w:vAlign w:val="center"/>
          </w:tcPr>
          <w:p>
            <w:r>
              <w:rPr>
                <w:sz w:val="16"/>
              </w:rPr>
              <w:t>More than 5000 patients across solid tumours</w:t>
            </w:r>
          </w:p>
        </w:tc>
        <w:tc>
          <w:tcPr>
            <w:tcW w:type="dxa" w:w="1176"/>
            <w:vAlign w:val="center"/>
          </w:tcPr>
          <w:p>
            <w:r>
              <w:rPr>
                <w:sz w:val="16"/>
              </w:rPr>
              <w:t>External cohorts for selected endpoints</w:t>
            </w:r>
          </w:p>
        </w:tc>
        <w:tc>
          <w:tcPr>
            <w:tcW w:type="dxa" w:w="1176"/>
            <w:vAlign w:val="center"/>
          </w:tcPr>
          <w:p>
            <w:r>
              <w:rPr>
                <w:sz w:val="16"/>
              </w:rPr>
              <w:t>Endpoint-specific AUROCs reported across 14 tumour types</w:t>
            </w:r>
          </w:p>
        </w:tc>
        <w:tc>
          <w:tcPr>
            <w:tcW w:type="dxa" w:w="1176"/>
            <w:vAlign w:val="center"/>
          </w:tcPr>
          <w:p>
            <w:r>
              <w:rPr>
                <w:sz w:val="16"/>
              </w:rPr>
              <w:t>10.1038/s43018-020-0087-6</w:t>
            </w:r>
          </w:p>
        </w:tc>
      </w:tr>
      <w:tr>
        <w:trPr>
          <w:cantSplit/>
        </w:trPr>
        <w:tc>
          <w:tcPr>
            <w:tcW w:type="dxa" w:w="1176"/>
            <w:vAlign w:val="center"/>
          </w:tcPr>
          <w:p>
            <w:r>
              <w:rPr>
                <w:sz w:val="16"/>
              </w:rPr>
              <w:t>Schmauch et al.</w:t>
            </w:r>
          </w:p>
        </w:tc>
        <w:tc>
          <w:tcPr>
            <w:tcW w:type="dxa" w:w="1176"/>
            <w:vAlign w:val="center"/>
          </w:tcPr>
          <w:p>
            <w:r>
              <w:rPr>
                <w:sz w:val="16"/>
              </w:rPr>
              <w:t>2020</w:t>
            </w:r>
          </w:p>
        </w:tc>
        <w:tc>
          <w:tcPr>
            <w:tcW w:type="dxa" w:w="1176"/>
            <w:vAlign w:val="center"/>
          </w:tcPr>
          <w:p>
            <w:r>
              <w:rPr>
                <w:sz w:val="16"/>
              </w:rPr>
              <w:t>Pan-cancer</w:t>
            </w:r>
          </w:p>
        </w:tc>
        <w:tc>
          <w:tcPr>
            <w:tcW w:type="dxa" w:w="1176"/>
            <w:vAlign w:val="center"/>
          </w:tcPr>
          <w:p>
            <w:r>
              <w:rPr>
                <w:sz w:val="16"/>
              </w:rPr>
              <w:t>Transcriptome-wide RNA expression and pathways</w:t>
            </w:r>
          </w:p>
        </w:tc>
        <w:tc>
          <w:tcPr>
            <w:tcW w:type="dxa" w:w="1176"/>
            <w:vAlign w:val="center"/>
          </w:tcPr>
          <w:p>
            <w:r>
              <w:rPr>
                <w:sz w:val="16"/>
              </w:rPr>
              <w:t>TCGA 8725 patients across 28 cancers</w:t>
            </w:r>
          </w:p>
        </w:tc>
        <w:tc>
          <w:tcPr>
            <w:tcW w:type="dxa" w:w="1176"/>
            <w:vAlign w:val="center"/>
          </w:tcPr>
          <w:p>
            <w:r>
              <w:rPr>
                <w:sz w:val="16"/>
              </w:rPr>
              <w:t>External breast and lung cohorts for selected analyses</w:t>
            </w:r>
          </w:p>
        </w:tc>
        <w:tc>
          <w:tcPr>
            <w:tcW w:type="dxa" w:w="1176"/>
            <w:vAlign w:val="center"/>
          </w:tcPr>
          <w:p>
            <w:r>
              <w:rPr>
                <w:sz w:val="16"/>
              </w:rPr>
              <w:t>Endpoint-specific gene-expression correlations</w:t>
            </w:r>
          </w:p>
        </w:tc>
        <w:tc>
          <w:tcPr>
            <w:tcW w:type="dxa" w:w="1176"/>
            <w:vAlign w:val="center"/>
          </w:tcPr>
          <w:p>
            <w:r>
              <w:rPr>
                <w:sz w:val="16"/>
              </w:rPr>
              <w:t>10.1038/s41467-020-17678-4</w:t>
            </w:r>
          </w:p>
        </w:tc>
      </w:tr>
      <w:tr>
        <w:trPr>
          <w:cantSplit/>
        </w:trPr>
        <w:tc>
          <w:tcPr>
            <w:tcW w:type="dxa" w:w="1176"/>
            <w:vAlign w:val="center"/>
          </w:tcPr>
          <w:p>
            <w:r>
              <w:rPr>
                <w:sz w:val="16"/>
              </w:rPr>
              <w:t>Howard et al.</w:t>
            </w:r>
          </w:p>
        </w:tc>
        <w:tc>
          <w:tcPr>
            <w:tcW w:type="dxa" w:w="1176"/>
            <w:vAlign w:val="center"/>
          </w:tcPr>
          <w:p>
            <w:r>
              <w:rPr>
                <w:sz w:val="16"/>
              </w:rPr>
              <w:t>2021</w:t>
            </w:r>
          </w:p>
        </w:tc>
        <w:tc>
          <w:tcPr>
            <w:tcW w:type="dxa" w:w="1176"/>
            <w:vAlign w:val="center"/>
          </w:tcPr>
          <w:p>
            <w:r>
              <w:rPr>
                <w:sz w:val="16"/>
              </w:rPr>
              <w:t>Six TCGA cancers</w:t>
            </w:r>
          </w:p>
        </w:tc>
        <w:tc>
          <w:tcPr>
            <w:tcW w:type="dxa" w:w="1176"/>
            <w:vAlign w:val="center"/>
          </w:tcPr>
          <w:p>
            <w:r>
              <w:rPr>
                <w:sz w:val="16"/>
              </w:rPr>
              <w:t>Submitting-site signatures and bias</w:t>
            </w:r>
          </w:p>
        </w:tc>
        <w:tc>
          <w:tcPr>
            <w:tcW w:type="dxa" w:w="1176"/>
            <w:vAlign w:val="center"/>
          </w:tcPr>
          <w:p>
            <w:r>
              <w:rPr>
                <w:sz w:val="16"/>
              </w:rPr>
              <w:t>TCGA more than 3000 patients</w:t>
            </w:r>
          </w:p>
        </w:tc>
        <w:tc>
          <w:tcPr>
            <w:tcW w:type="dxa" w:w="1176"/>
            <w:vAlign w:val="center"/>
          </w:tcPr>
          <w:p>
            <w:r>
              <w:rPr>
                <w:sz w:val="16"/>
              </w:rPr>
              <w:t>Site-preserved validation within TCGA</w:t>
            </w:r>
          </w:p>
        </w:tc>
        <w:tc>
          <w:tcPr>
            <w:tcW w:type="dxa" w:w="1176"/>
            <w:vAlign w:val="center"/>
          </w:tcPr>
          <w:p>
            <w:r>
              <w:rPr>
                <w:sz w:val="16"/>
              </w:rPr>
              <w:t>Site signatures remained detectable and could inflate mutation stage and survival prediction</w:t>
            </w:r>
          </w:p>
        </w:tc>
        <w:tc>
          <w:tcPr>
            <w:tcW w:type="dxa" w:w="1176"/>
            <w:vAlign w:val="center"/>
          </w:tcPr>
          <w:p>
            <w:r>
              <w:rPr>
                <w:sz w:val="16"/>
              </w:rPr>
              <w:t>10.1038/s41467-021-24698-1</w:t>
            </w:r>
          </w:p>
        </w:tc>
      </w:tr>
      <w:tr>
        <w:trPr>
          <w:cantSplit/>
        </w:trPr>
        <w:tc>
          <w:tcPr>
            <w:tcW w:type="dxa" w:w="1176"/>
            <w:vAlign w:val="center"/>
          </w:tcPr>
          <w:p>
            <w:r>
              <w:rPr>
                <w:sz w:val="16"/>
              </w:rPr>
              <w:t>Loeffler et al.</w:t>
            </w:r>
          </w:p>
        </w:tc>
        <w:tc>
          <w:tcPr>
            <w:tcW w:type="dxa" w:w="1176"/>
            <w:vAlign w:val="center"/>
          </w:tcPr>
          <w:p>
            <w:r>
              <w:rPr>
                <w:sz w:val="16"/>
              </w:rPr>
              <w:t>2022</w:t>
            </w:r>
          </w:p>
        </w:tc>
        <w:tc>
          <w:tcPr>
            <w:tcW w:type="dxa" w:w="1176"/>
            <w:vAlign w:val="center"/>
          </w:tcPr>
          <w:p>
            <w:r>
              <w:rPr>
                <w:sz w:val="16"/>
              </w:rPr>
              <w:t>Pan-cancer</w:t>
            </w:r>
          </w:p>
        </w:tc>
        <w:tc>
          <w:tcPr>
            <w:tcW w:type="dxa" w:w="1176"/>
            <w:vAlign w:val="center"/>
          </w:tcPr>
          <w:p>
            <w:r>
              <w:rPr>
                <w:sz w:val="16"/>
              </w:rPr>
              <w:t>69 genes and 12 pathways</w:t>
            </w:r>
          </w:p>
        </w:tc>
        <w:tc>
          <w:tcPr>
            <w:tcW w:type="dxa" w:w="1176"/>
            <w:vAlign w:val="center"/>
          </w:tcPr>
          <w:p>
            <w:r>
              <w:rPr>
                <w:sz w:val="16"/>
              </w:rPr>
              <w:t>TCGA 7829 patients across 23 cancers</w:t>
            </w:r>
          </w:p>
        </w:tc>
        <w:tc>
          <w:tcPr>
            <w:tcW w:type="dxa" w:w="1176"/>
            <w:vAlign w:val="center"/>
          </w:tcPr>
          <w:p>
            <w:r>
              <w:rPr>
                <w:sz w:val="16"/>
              </w:rPr>
              <w:t>None outside TCGA in primary systematic screen</w:t>
            </w:r>
          </w:p>
        </w:tc>
        <w:tc>
          <w:tcPr>
            <w:tcW w:type="dxa" w:w="1176"/>
            <w:vAlign w:val="center"/>
          </w:tcPr>
          <w:p>
            <w:r>
              <w:rPr>
                <w:sz w:val="16"/>
              </w:rPr>
              <w:t>44 of 69 genes were reported predictable in at least one tumour type</w:t>
            </w:r>
          </w:p>
        </w:tc>
        <w:tc>
          <w:tcPr>
            <w:tcW w:type="dxa" w:w="1176"/>
            <w:vAlign w:val="center"/>
          </w:tcPr>
          <w:p>
            <w:r>
              <w:rPr>
                <w:sz w:val="16"/>
              </w:rPr>
              <w:t>10.3389/fgene.2021.806386</w:t>
            </w:r>
          </w:p>
        </w:tc>
      </w:tr>
      <w:tr>
        <w:trPr>
          <w:cantSplit/>
        </w:trPr>
        <w:tc>
          <w:tcPr>
            <w:tcW w:type="dxa" w:w="1176"/>
            <w:vAlign w:val="center"/>
          </w:tcPr>
          <w:p>
            <w:r>
              <w:rPr>
                <w:sz w:val="16"/>
              </w:rPr>
              <w:t>Dadhania et al.</w:t>
            </w:r>
          </w:p>
        </w:tc>
        <w:tc>
          <w:tcPr>
            <w:tcW w:type="dxa" w:w="1176"/>
            <w:vAlign w:val="center"/>
          </w:tcPr>
          <w:p>
            <w:r>
              <w:rPr>
                <w:sz w:val="16"/>
              </w:rPr>
              <w:t>2022</w:t>
            </w:r>
          </w:p>
        </w:tc>
        <w:tc>
          <w:tcPr>
            <w:tcW w:type="dxa" w:w="1176"/>
            <w:vAlign w:val="center"/>
          </w:tcPr>
          <w:p>
            <w:r>
              <w:rPr>
                <w:sz w:val="16"/>
              </w:rPr>
              <w:t>Prostate cancer</w:t>
            </w:r>
          </w:p>
        </w:tc>
        <w:tc>
          <w:tcPr>
            <w:tcW w:type="dxa" w:w="1176"/>
            <w:vAlign w:val="center"/>
          </w:tcPr>
          <w:p>
            <w:r>
              <w:rPr>
                <w:sz w:val="16"/>
              </w:rPr>
              <w:t>ERG rearrangement status</w:t>
            </w:r>
          </w:p>
        </w:tc>
        <w:tc>
          <w:tcPr>
            <w:tcW w:type="dxa" w:w="1176"/>
            <w:vAlign w:val="center"/>
          </w:tcPr>
          <w:p>
            <w:r>
              <w:rPr>
                <w:sz w:val="16"/>
              </w:rPr>
              <w:t>392 in-house and TCGA cases</w:t>
            </w:r>
          </w:p>
        </w:tc>
        <w:tc>
          <w:tcPr>
            <w:tcW w:type="dxa" w:w="1176"/>
            <w:vAlign w:val="center"/>
          </w:tcPr>
          <w:p>
            <w:r>
              <w:rPr>
                <w:sz w:val="16"/>
              </w:rPr>
              <w:t>Held-out 131-case test set</w:t>
            </w:r>
          </w:p>
        </w:tc>
        <w:tc>
          <w:tcPr>
            <w:tcW w:type="dxa" w:w="1176"/>
            <w:vAlign w:val="center"/>
          </w:tcPr>
          <w:p>
            <w:r>
              <w:rPr>
                <w:sz w:val="16"/>
              </w:rPr>
              <w:t>AUROC 0.82-0.85; sensitivity 75.0% and specificity 83.1% at 20x</w:t>
            </w:r>
          </w:p>
        </w:tc>
        <w:tc>
          <w:tcPr>
            <w:tcW w:type="dxa" w:w="1176"/>
            <w:vAlign w:val="center"/>
          </w:tcPr>
          <w:p>
            <w:r>
              <w:rPr>
                <w:sz w:val="16"/>
              </w:rPr>
              <w:t>10.1186/s12885-022-09559-4</w:t>
            </w:r>
          </w:p>
        </w:tc>
      </w:tr>
      <w:tr>
        <w:trPr>
          <w:cantSplit/>
        </w:trPr>
        <w:tc>
          <w:tcPr>
            <w:tcW w:type="dxa" w:w="1176"/>
            <w:vAlign w:val="center"/>
          </w:tcPr>
          <w:p>
            <w:r>
              <w:rPr>
                <w:sz w:val="16"/>
              </w:rPr>
              <w:t>Mayer et al.</w:t>
            </w:r>
          </w:p>
        </w:tc>
        <w:tc>
          <w:tcPr>
            <w:tcW w:type="dxa" w:w="1176"/>
            <w:vAlign w:val="center"/>
          </w:tcPr>
          <w:p>
            <w:r>
              <w:rPr>
                <w:sz w:val="16"/>
              </w:rPr>
              <w:t>2022</w:t>
            </w:r>
          </w:p>
        </w:tc>
        <w:tc>
          <w:tcPr>
            <w:tcW w:type="dxa" w:w="1176"/>
            <w:vAlign w:val="center"/>
          </w:tcPr>
          <w:p>
            <w:r>
              <w:rPr>
                <w:sz w:val="16"/>
              </w:rPr>
              <w:t>NSCLC</w:t>
            </w:r>
          </w:p>
        </w:tc>
        <w:tc>
          <w:tcPr>
            <w:tcW w:type="dxa" w:w="1176"/>
            <w:vAlign w:val="center"/>
          </w:tcPr>
          <w:p>
            <w:r>
              <w:rPr>
                <w:sz w:val="16"/>
              </w:rPr>
              <w:t>ALK and ROS1 fusions</w:t>
            </w:r>
          </w:p>
        </w:tc>
        <w:tc>
          <w:tcPr>
            <w:tcW w:type="dxa" w:w="1176"/>
            <w:vAlign w:val="center"/>
          </w:tcPr>
          <w:p>
            <w:r>
              <w:rPr>
                <w:sz w:val="16"/>
              </w:rPr>
              <w:t>Pan-cancer pretraining plus NSCLC development</w:t>
            </w:r>
          </w:p>
        </w:tc>
        <w:tc>
          <w:tcPr>
            <w:tcW w:type="dxa" w:w="1176"/>
            <w:vAlign w:val="center"/>
          </w:tcPr>
          <w:p>
            <w:r>
              <w:rPr>
                <w:sz w:val="16"/>
              </w:rPr>
              <w:t>Independent 72-case Sheba cohort</w:t>
            </w:r>
          </w:p>
        </w:tc>
        <w:tc>
          <w:tcPr>
            <w:tcW w:type="dxa" w:w="1176"/>
            <w:vAlign w:val="center"/>
          </w:tcPr>
          <w:p>
            <w:r>
              <w:rPr>
                <w:sz w:val="16"/>
              </w:rPr>
              <w:t>Sensitivity 100% for ALK and ROS1; specificity 100% and 98.6% respectively with very few positives</w:t>
            </w:r>
          </w:p>
        </w:tc>
        <w:tc>
          <w:tcPr>
            <w:tcW w:type="dxa" w:w="1176"/>
            <w:vAlign w:val="center"/>
          </w:tcPr>
          <w:p>
            <w:r>
              <w:rPr>
                <w:sz w:val="16"/>
              </w:rPr>
              <w:t>10.1038/s41379-022-01141-4</w:t>
            </w:r>
          </w:p>
        </w:tc>
      </w:tr>
      <w:tr>
        <w:trPr>
          <w:cantSplit/>
        </w:trPr>
        <w:tc>
          <w:tcPr>
            <w:tcW w:type="dxa" w:w="1176"/>
            <w:vAlign w:val="center"/>
          </w:tcPr>
          <w:p>
            <w:r>
              <w:rPr>
                <w:sz w:val="16"/>
              </w:rPr>
              <w:t>Saldanha et al.</w:t>
            </w:r>
          </w:p>
        </w:tc>
        <w:tc>
          <w:tcPr>
            <w:tcW w:type="dxa" w:w="1176"/>
            <w:vAlign w:val="center"/>
          </w:tcPr>
          <w:p>
            <w:r>
              <w:rPr>
                <w:sz w:val="16"/>
              </w:rPr>
              <w:t>2023</w:t>
            </w:r>
          </w:p>
        </w:tc>
        <w:tc>
          <w:tcPr>
            <w:tcW w:type="dxa" w:w="1176"/>
            <w:vAlign w:val="center"/>
          </w:tcPr>
          <w:p>
            <w:r>
              <w:rPr>
                <w:sz w:val="16"/>
              </w:rPr>
              <w:t>Pan-cancer</w:t>
            </w:r>
          </w:p>
        </w:tc>
        <w:tc>
          <w:tcPr>
            <w:tcW w:type="dxa" w:w="1176"/>
            <w:vAlign w:val="center"/>
          </w:tcPr>
          <w:p>
            <w:r>
              <w:rPr>
                <w:sz w:val="16"/>
              </w:rPr>
              <w:t>Somatic gene alterations</w:t>
            </w:r>
          </w:p>
        </w:tc>
        <w:tc>
          <w:tcPr>
            <w:tcW w:type="dxa" w:w="1176"/>
            <w:vAlign w:val="center"/>
          </w:tcPr>
          <w:p>
            <w:r>
              <w:rPr>
                <w:sz w:val="16"/>
              </w:rPr>
              <w:t>TCGA across multiple cancers</w:t>
            </w:r>
          </w:p>
        </w:tc>
        <w:tc>
          <w:tcPr>
            <w:tcW w:type="dxa" w:w="1176"/>
            <w:vAlign w:val="center"/>
          </w:tcPr>
          <w:p>
            <w:r>
              <w:rPr>
                <w:sz w:val="16"/>
              </w:rPr>
              <w:t>CPTAC external cohorts for seven cancer groups</w:t>
            </w:r>
          </w:p>
        </w:tc>
        <w:tc>
          <w:tcPr>
            <w:tcW w:type="dxa" w:w="1176"/>
            <w:vAlign w:val="center"/>
          </w:tcPr>
          <w:p>
            <w:r>
              <w:rPr>
                <w:sz w:val="16"/>
              </w:rPr>
              <w:t>Endpoint-specific internal and external AUROCs</w:t>
            </w:r>
          </w:p>
        </w:tc>
        <w:tc>
          <w:tcPr>
            <w:tcW w:type="dxa" w:w="1176"/>
            <w:vAlign w:val="center"/>
          </w:tcPr>
          <w:p>
            <w:r>
              <w:rPr>
                <w:sz w:val="16"/>
              </w:rPr>
              <w:t>10.1038/s41698-023-00365-0</w:t>
            </w:r>
          </w:p>
        </w:tc>
      </w:tr>
      <w:tr>
        <w:trPr>
          <w:cantSplit/>
        </w:trPr>
        <w:tc>
          <w:tcPr>
            <w:tcW w:type="dxa" w:w="1176"/>
            <w:vAlign w:val="center"/>
          </w:tcPr>
          <w:p>
            <w:r>
              <w:rPr>
                <w:sz w:val="16"/>
              </w:rPr>
              <w:t>El Nahhas et al.</w:t>
            </w:r>
          </w:p>
        </w:tc>
        <w:tc>
          <w:tcPr>
            <w:tcW w:type="dxa" w:w="1176"/>
            <w:vAlign w:val="center"/>
          </w:tcPr>
          <w:p>
            <w:r>
              <w:rPr>
                <w:sz w:val="16"/>
              </w:rPr>
              <w:t>2024</w:t>
            </w:r>
          </w:p>
        </w:tc>
        <w:tc>
          <w:tcPr>
            <w:tcW w:type="dxa" w:w="1176"/>
            <w:vAlign w:val="center"/>
          </w:tcPr>
          <w:p>
            <w:r>
              <w:rPr>
                <w:sz w:val="16"/>
              </w:rPr>
              <w:t>Nine cancers</w:t>
            </w:r>
          </w:p>
        </w:tc>
        <w:tc>
          <w:tcPr>
            <w:tcW w:type="dxa" w:w="1176"/>
            <w:vAlign w:val="center"/>
          </w:tcPr>
          <w:p>
            <w:r>
              <w:rPr>
                <w:sz w:val="16"/>
              </w:rPr>
              <w:t>Continuous HRD and tumour-microenvironment biomarkers</w:t>
            </w:r>
          </w:p>
        </w:tc>
        <w:tc>
          <w:tcPr>
            <w:tcW w:type="dxa" w:w="1176"/>
            <w:vAlign w:val="center"/>
          </w:tcPr>
          <w:p>
            <w:r>
              <w:rPr>
                <w:sz w:val="16"/>
              </w:rPr>
              <w:t>11671 patients across nine cancers</w:t>
            </w:r>
          </w:p>
        </w:tc>
        <w:tc>
          <w:tcPr>
            <w:tcW w:type="dxa" w:w="1176"/>
            <w:vAlign w:val="center"/>
          </w:tcPr>
          <w:p>
            <w:r>
              <w:rPr>
                <w:sz w:val="16"/>
              </w:rPr>
              <w:t>Selected external cohorts</w:t>
            </w:r>
          </w:p>
        </w:tc>
        <w:tc>
          <w:tcPr>
            <w:tcW w:type="dxa" w:w="1176"/>
            <w:vAlign w:val="center"/>
          </w:tcPr>
          <w:p>
            <w:r>
              <w:rPr>
                <w:sz w:val="16"/>
              </w:rPr>
              <w:t>Regression improved continuous biomarker prediction and interpretability relative to dichotomisation</w:t>
            </w:r>
          </w:p>
        </w:tc>
        <w:tc>
          <w:tcPr>
            <w:tcW w:type="dxa" w:w="1176"/>
            <w:vAlign w:val="center"/>
          </w:tcPr>
          <w:p>
            <w:r>
              <w:rPr>
                <w:sz w:val="16"/>
              </w:rPr>
              <w:t>10.1038/s41467-024-45589-1</w:t>
            </w:r>
          </w:p>
        </w:tc>
      </w:tr>
      <w:tr>
        <w:trPr>
          <w:cantSplit/>
        </w:trPr>
        <w:tc>
          <w:tcPr>
            <w:tcW w:type="dxa" w:w="1176"/>
            <w:vAlign w:val="center"/>
          </w:tcPr>
          <w:p>
            <w:r>
              <w:rPr>
                <w:sz w:val="16"/>
              </w:rPr>
              <w:t>Arslan et al.</w:t>
            </w:r>
          </w:p>
        </w:tc>
        <w:tc>
          <w:tcPr>
            <w:tcW w:type="dxa" w:w="1176"/>
            <w:vAlign w:val="center"/>
          </w:tcPr>
          <w:p>
            <w:r>
              <w:rPr>
                <w:sz w:val="16"/>
              </w:rPr>
              <w:t>2024</w:t>
            </w:r>
          </w:p>
        </w:tc>
        <w:tc>
          <w:tcPr>
            <w:tcW w:type="dxa" w:w="1176"/>
            <w:vAlign w:val="center"/>
          </w:tcPr>
          <w:p>
            <w:r>
              <w:rPr>
                <w:sz w:val="16"/>
              </w:rPr>
              <w:t>Pan-cancer</w:t>
            </w:r>
          </w:p>
        </w:tc>
        <w:tc>
          <w:tcPr>
            <w:tcW w:type="dxa" w:w="1176"/>
            <w:vAlign w:val="center"/>
          </w:tcPr>
          <w:p>
            <w:r>
              <w:rPr>
                <w:sz w:val="16"/>
              </w:rPr>
              <w:t>4031 genomic transcriptomic proteomic and clinical biomarkers</w:t>
            </w:r>
          </w:p>
        </w:tc>
        <w:tc>
          <w:tcPr>
            <w:tcW w:type="dxa" w:w="1176"/>
            <w:vAlign w:val="center"/>
          </w:tcPr>
          <w:p>
            <w:r>
              <w:rPr>
                <w:sz w:val="16"/>
              </w:rPr>
              <w:t>TCGA 8890 patients and 10954 FFPE slides across 32 cancers</w:t>
            </w:r>
          </w:p>
        </w:tc>
        <w:tc>
          <w:tcPr>
            <w:tcW w:type="dxa" w:w="1176"/>
            <w:vAlign w:val="center"/>
          </w:tcPr>
          <w:p>
            <w:r>
              <w:rPr>
                <w:sz w:val="16"/>
              </w:rPr>
              <w:t>CPTAC for selected cancer-endpoint combinations</w:t>
            </w:r>
          </w:p>
        </w:tc>
        <w:tc>
          <w:tcPr>
            <w:tcW w:type="dxa" w:w="1176"/>
            <w:vAlign w:val="center"/>
          </w:tcPr>
          <w:p>
            <w:r>
              <w:rPr>
                <w:sz w:val="16"/>
              </w:rPr>
              <w:t>Median model AUROC 0.644; top quartile at least 0.719; top 5% above 0.834</w:t>
            </w:r>
          </w:p>
        </w:tc>
        <w:tc>
          <w:tcPr>
            <w:tcW w:type="dxa" w:w="1176"/>
            <w:vAlign w:val="center"/>
          </w:tcPr>
          <w:p>
            <w:r>
              <w:rPr>
                <w:sz w:val="16"/>
              </w:rPr>
              <w:t>10.1038/s43856-024-00471-5</w:t>
            </w:r>
          </w:p>
        </w:tc>
      </w:tr>
      <w:tr>
        <w:trPr>
          <w:cantSplit/>
        </w:trPr>
        <w:tc>
          <w:tcPr>
            <w:tcW w:type="dxa" w:w="1176"/>
            <w:vAlign w:val="center"/>
          </w:tcPr>
          <w:p>
            <w:r>
              <w:rPr>
                <w:sz w:val="16"/>
              </w:rPr>
              <w:t>Bergstrom et al.</w:t>
            </w:r>
          </w:p>
        </w:tc>
        <w:tc>
          <w:tcPr>
            <w:tcW w:type="dxa" w:w="1176"/>
            <w:vAlign w:val="center"/>
          </w:tcPr>
          <w:p>
            <w:r>
              <w:rPr>
                <w:sz w:val="16"/>
              </w:rPr>
              <w:t>2024</w:t>
            </w:r>
          </w:p>
        </w:tc>
        <w:tc>
          <w:tcPr>
            <w:tcW w:type="dxa" w:w="1176"/>
            <w:vAlign w:val="center"/>
          </w:tcPr>
          <w:p>
            <w:r>
              <w:rPr>
                <w:sz w:val="16"/>
              </w:rPr>
              <w:t>Breast and ovarian cancer</w:t>
            </w:r>
          </w:p>
        </w:tc>
        <w:tc>
          <w:tcPr>
            <w:tcW w:type="dxa" w:w="1176"/>
            <w:vAlign w:val="center"/>
          </w:tcPr>
          <w:p>
            <w:r>
              <w:rPr>
                <w:sz w:val="16"/>
              </w:rPr>
              <w:t>HRD and platinum response</w:t>
            </w:r>
          </w:p>
        </w:tc>
        <w:tc>
          <w:tcPr>
            <w:tcW w:type="dxa" w:w="1176"/>
            <w:vAlign w:val="center"/>
          </w:tcPr>
          <w:p>
            <w:r>
              <w:rPr>
                <w:sz w:val="16"/>
              </w:rPr>
              <w:t>TCGA BRCA and OV</w:t>
            </w:r>
          </w:p>
        </w:tc>
        <w:tc>
          <w:tcPr>
            <w:tcW w:type="dxa" w:w="1176"/>
            <w:vAlign w:val="center"/>
          </w:tcPr>
          <w:p>
            <w:r>
              <w:rPr>
                <w:sz w:val="16"/>
              </w:rPr>
              <w:t>CPTAC METABRIC and independent clinical cohorts</w:t>
            </w:r>
          </w:p>
        </w:tc>
        <w:tc>
          <w:tcPr>
            <w:tcW w:type="dxa" w:w="1176"/>
            <w:vAlign w:val="center"/>
          </w:tcPr>
          <w:p>
            <w:r>
              <w:rPr>
                <w:sz w:val="16"/>
              </w:rPr>
              <w:t>TCGA breast AUROC 0.81 (0.77-0.85); external primary breast AUROC 0.76 (0.71-0.82)</w:t>
            </w:r>
          </w:p>
        </w:tc>
        <w:tc>
          <w:tcPr>
            <w:tcW w:type="dxa" w:w="1176"/>
            <w:vAlign w:val="center"/>
          </w:tcPr>
          <w:p>
            <w:r>
              <w:rPr>
                <w:sz w:val="16"/>
              </w:rPr>
              <w:t>10.1200/JCO.23.02641</w:t>
            </w:r>
          </w:p>
        </w:tc>
      </w:tr>
      <w:tr>
        <w:trPr>
          <w:cantSplit/>
        </w:trPr>
        <w:tc>
          <w:tcPr>
            <w:tcW w:type="dxa" w:w="1176"/>
            <w:vAlign w:val="center"/>
          </w:tcPr>
          <w:p>
            <w:r>
              <w:rPr>
                <w:sz w:val="16"/>
              </w:rPr>
              <w:t>Patkar et al.</w:t>
            </w:r>
          </w:p>
        </w:tc>
        <w:tc>
          <w:tcPr>
            <w:tcW w:type="dxa" w:w="1176"/>
            <w:vAlign w:val="center"/>
          </w:tcPr>
          <w:p>
            <w:r>
              <w:rPr>
                <w:sz w:val="16"/>
              </w:rPr>
              <w:t>2024</w:t>
            </w:r>
          </w:p>
        </w:tc>
        <w:tc>
          <w:tcPr>
            <w:tcW w:type="dxa" w:w="1176"/>
            <w:vAlign w:val="center"/>
          </w:tcPr>
          <w:p>
            <w:r>
              <w:rPr>
                <w:sz w:val="16"/>
              </w:rPr>
              <w:t>NSCLC</w:t>
            </w:r>
          </w:p>
        </w:tc>
        <w:tc>
          <w:tcPr>
            <w:tcW w:type="dxa" w:w="1176"/>
            <w:vAlign w:val="center"/>
          </w:tcPr>
          <w:p>
            <w:r>
              <w:rPr>
                <w:sz w:val="16"/>
              </w:rPr>
              <w:t>Thirty tumour-microenvironment expression signatures and immunotherapy response</w:t>
            </w:r>
          </w:p>
        </w:tc>
        <w:tc>
          <w:tcPr>
            <w:tcW w:type="dxa" w:w="1176"/>
            <w:vAlign w:val="center"/>
          </w:tcPr>
          <w:p>
            <w:r>
              <w:rPr>
                <w:sz w:val="16"/>
              </w:rPr>
              <w:t>TCGA NSCLC (n=865)</w:t>
            </w:r>
          </w:p>
        </w:tc>
        <w:tc>
          <w:tcPr>
            <w:tcW w:type="dxa" w:w="1176"/>
            <w:vAlign w:val="center"/>
          </w:tcPr>
          <w:p>
            <w:r>
              <w:rPr>
                <w:sz w:val="16"/>
              </w:rPr>
              <w:t>CPTAC (n=333) and SUNY cohorts with IHC and treatment outcomes</w:t>
            </w:r>
          </w:p>
        </w:tc>
        <w:tc>
          <w:tcPr>
            <w:tcW w:type="dxa" w:w="1176"/>
            <w:vAlign w:val="center"/>
          </w:tcPr>
          <w:p>
            <w:r>
              <w:rPr>
                <w:sz w:val="16"/>
              </w:rPr>
              <w:t>Mean external Pearson correlation 0.50; IHC cell-type correlations 0.41-0.60; first-line ICI-response AUROC 0.75 (0.61-0.88)</w:t>
            </w:r>
          </w:p>
        </w:tc>
        <w:tc>
          <w:tcPr>
            <w:tcW w:type="dxa" w:w="1176"/>
            <w:vAlign w:val="center"/>
          </w:tcPr>
          <w:p>
            <w:r>
              <w:rPr>
                <w:sz w:val="16"/>
              </w:rPr>
              <w:t>10.1038/s41698-024-00765-w</w:t>
            </w:r>
          </w:p>
        </w:tc>
      </w:tr>
      <w:tr>
        <w:trPr>
          <w:cantSplit/>
        </w:trPr>
        <w:tc>
          <w:tcPr>
            <w:tcW w:type="dxa" w:w="1176"/>
            <w:vAlign w:val="center"/>
          </w:tcPr>
          <w:p>
            <w:r>
              <w:rPr>
                <w:sz w:val="16"/>
              </w:rPr>
              <w:t>Ding et al.</w:t>
            </w:r>
          </w:p>
        </w:tc>
        <w:tc>
          <w:tcPr>
            <w:tcW w:type="dxa" w:w="1176"/>
            <w:vAlign w:val="center"/>
          </w:tcPr>
          <w:p>
            <w:r>
              <w:rPr>
                <w:sz w:val="16"/>
              </w:rPr>
              <w:t>2025</w:t>
            </w:r>
          </w:p>
        </w:tc>
        <w:tc>
          <w:tcPr>
            <w:tcW w:type="dxa" w:w="1176"/>
            <w:vAlign w:val="center"/>
          </w:tcPr>
          <w:p>
            <w:r>
              <w:rPr>
                <w:sz w:val="16"/>
              </w:rPr>
              <w:t>Pan-organ and pan-cancer</w:t>
            </w:r>
          </w:p>
        </w:tc>
        <w:tc>
          <w:tcPr>
            <w:tcW w:type="dxa" w:w="1176"/>
            <w:vAlign w:val="center"/>
          </w:tcPr>
          <w:p>
            <w:r>
              <w:rPr>
                <w:sz w:val="16"/>
              </w:rPr>
              <w:t>Diagnosis molecular status prognosis retrieval and report generation</w:t>
            </w:r>
          </w:p>
        </w:tc>
        <w:tc>
          <w:tcPr>
            <w:tcW w:type="dxa" w:w="1176"/>
            <w:vAlign w:val="center"/>
          </w:tcPr>
          <w:p>
            <w:r>
              <w:rPr>
                <w:sz w:val="16"/>
              </w:rPr>
              <w:t>Mass-340K pretraining: 335645 WSIs plus synthetic captions and 182862 WSI-report pairs</w:t>
            </w:r>
          </w:p>
        </w:tc>
        <w:tc>
          <w:tcPr>
            <w:tcW w:type="dxa" w:w="1176"/>
            <w:vAlign w:val="center"/>
          </w:tcPr>
          <w:p>
            <w:r>
              <w:rPr>
                <w:sz w:val="16"/>
              </w:rPr>
              <w:t>TCGA was downstream evaluation and explicitly excluded from TITAN pretraining</w:t>
            </w:r>
          </w:p>
        </w:tc>
        <w:tc>
          <w:tcPr>
            <w:tcW w:type="dxa" w:w="1176"/>
            <w:vAlign w:val="center"/>
          </w:tcPr>
          <w:p>
            <w:r>
              <w:rPr>
                <w:sz w:val="16"/>
              </w:rPr>
              <w:t>Task-specific linear-probe and zero-shot metrics</w:t>
            </w:r>
          </w:p>
        </w:tc>
        <w:tc>
          <w:tcPr>
            <w:tcW w:type="dxa" w:w="1176"/>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r>
              <w:rPr>
                <w:b/>
                <w:sz w:val="17"/>
              </w:rPr>
              <w:t>Item</w:t>
            </w:r>
          </w:p>
        </w:tc>
        <w:tc>
          <w:tcPr>
            <w:tcW w:type="dxa" w:w="2353"/>
          </w:tcPr>
          <w:p>
            <w:r>
              <w:rPr>
                <w:b/>
                <w:sz w:val="17"/>
              </w:rPr>
              <w:t>Topic</w:t>
            </w:r>
          </w:p>
        </w:tc>
        <w:tc>
          <w:tcPr>
            <w:tcW w:type="dxa" w:w="2353"/>
          </w:tcPr>
          <w:p>
            <w:r>
              <w:rPr>
                <w:b/>
                <w:sz w:val="17"/>
              </w:rPr>
              <w:t>Reported location</w:t>
            </w:r>
          </w:p>
        </w:tc>
        <w:tc>
          <w:tcPr>
            <w:tcW w:type="dxa" w:w="2353"/>
          </w:tcPr>
          <w:p>
            <w:r>
              <w:rPr>
                <w:b/>
                <w:sz w:val="17"/>
              </w:rPr>
              <w:t>Status</w:t>
            </w:r>
          </w:p>
        </w:tc>
      </w:tr>
      <w:tr>
        <w:trPr>
          <w:cantSplit/>
        </w:trPr>
        <w:tc>
          <w:tcPr>
            <w:tcW w:type="dxa" w:w="2353"/>
            <w:vAlign w:val="center"/>
          </w:tcPr>
          <w:p>
            <w:r>
              <w:rPr>
                <w:sz w:val="16"/>
              </w:rPr>
              <w:t>1</w:t>
            </w:r>
          </w:p>
        </w:tc>
        <w:tc>
          <w:tcPr>
            <w:tcW w:type="dxa" w:w="2353"/>
            <w:vAlign w:val="center"/>
          </w:tcPr>
          <w:p>
            <w:r>
              <w:rPr>
                <w:sz w:val="16"/>
              </w:rPr>
              <w:t>Title</w:t>
            </w:r>
          </w:p>
        </w:tc>
        <w:tc>
          <w:tcPr>
            <w:tcW w:type="dxa" w:w="2353"/>
            <w:vAlign w:val="center"/>
          </w:tcPr>
          <w:p>
            <w:r>
              <w:rPr>
                <w:sz w:val="16"/>
              </w:rPr>
              <w:t>Title page</w:t>
            </w:r>
          </w:p>
        </w:tc>
        <w:tc>
          <w:tcPr>
            <w:tcW w:type="dxa" w:w="2353"/>
            <w:vAlign w:val="center"/>
          </w:tcPr>
          <w:p>
            <w:r>
              <w:rPr>
                <w:sz w:val="16"/>
              </w:rPr>
              <w:t>Reported</w:t>
            </w:r>
          </w:p>
        </w:tc>
      </w:tr>
      <w:tr>
        <w:trPr>
          <w:cantSplit/>
        </w:trPr>
        <w:tc>
          <w:tcPr>
            <w:tcW w:type="dxa" w:w="2353"/>
            <w:vAlign w:val="center"/>
          </w:tcPr>
          <w:p>
            <w:r>
              <w:rPr>
                <w:sz w:val="16"/>
              </w:rPr>
              <w:t>2</w:t>
            </w:r>
          </w:p>
        </w:tc>
        <w:tc>
          <w:tcPr>
            <w:tcW w:type="dxa" w:w="2353"/>
            <w:vAlign w:val="center"/>
          </w:tcPr>
          <w:p>
            <w:r>
              <w:rPr>
                <w:sz w:val="16"/>
              </w:rPr>
              <w:t>Abstract</w:t>
            </w:r>
          </w:p>
        </w:tc>
        <w:tc>
          <w:tcPr>
            <w:tcW w:type="dxa" w:w="2353"/>
            <w:vAlign w:val="center"/>
          </w:tcPr>
          <w:p>
            <w:r>
              <w:rPr>
                <w:sz w:val="16"/>
              </w:rPr>
              <w:t>Structured abstract</w:t>
            </w:r>
          </w:p>
        </w:tc>
        <w:tc>
          <w:tcPr>
            <w:tcW w:type="dxa" w:w="2353"/>
            <w:vAlign w:val="center"/>
          </w:tcPr>
          <w:p>
            <w:r>
              <w:rPr>
                <w:sz w:val="16"/>
              </w:rPr>
              <w:t>Reported</w:t>
            </w:r>
          </w:p>
        </w:tc>
      </w:tr>
      <w:tr>
        <w:trPr>
          <w:cantSplit/>
        </w:trPr>
        <w:tc>
          <w:tcPr>
            <w:tcW w:type="dxa" w:w="2353"/>
            <w:vAlign w:val="center"/>
          </w:tcPr>
          <w:p>
            <w:r>
              <w:rPr>
                <w:sz w:val="16"/>
              </w:rPr>
              <w:t>3a</w:t>
            </w:r>
          </w:p>
        </w:tc>
        <w:tc>
          <w:tcPr>
            <w:tcW w:type="dxa" w:w="2353"/>
            <w:vAlign w:val="center"/>
          </w:tcPr>
          <w:p>
            <w:r>
              <w:rPr>
                <w:sz w:val="16"/>
              </w:rPr>
              <w:t>Healthcare context and existing models</w:t>
            </w:r>
          </w:p>
        </w:tc>
        <w:tc>
          <w:tcPr>
            <w:tcW w:type="dxa" w:w="2353"/>
            <w:vAlign w:val="center"/>
          </w:tcPr>
          <w:p>
            <w:r>
              <w:rPr>
                <w:sz w:val="16"/>
              </w:rPr>
              <w:t>Background</w:t>
            </w:r>
          </w:p>
        </w:tc>
        <w:tc>
          <w:tcPr>
            <w:tcW w:type="dxa" w:w="2353"/>
            <w:vAlign w:val="center"/>
          </w:tcPr>
          <w:p>
            <w:r>
              <w:rPr>
                <w:sz w:val="16"/>
              </w:rPr>
              <w:t>Reported</w:t>
            </w:r>
          </w:p>
        </w:tc>
      </w:tr>
      <w:tr>
        <w:trPr>
          <w:cantSplit/>
        </w:trPr>
        <w:tc>
          <w:tcPr>
            <w:tcW w:type="dxa" w:w="2353"/>
            <w:vAlign w:val="center"/>
          </w:tcPr>
          <w:p>
            <w:r>
              <w:rPr>
                <w:sz w:val="16"/>
              </w:rPr>
              <w:t>3b</w:t>
            </w:r>
          </w:p>
        </w:tc>
        <w:tc>
          <w:tcPr>
            <w:tcW w:type="dxa" w:w="2353"/>
            <w:vAlign w:val="center"/>
          </w:tcPr>
          <w:p>
            <w:r>
              <w:rPr>
                <w:sz w:val="16"/>
              </w:rPr>
              <w:t>Target population intended purpose and users</w:t>
            </w:r>
          </w:p>
        </w:tc>
        <w:tc>
          <w:tcPr>
            <w:tcW w:type="dxa" w:w="2353"/>
            <w:vAlign w:val="center"/>
          </w:tcPr>
          <w:p>
            <w:r>
              <w:rPr>
                <w:sz w:val="16"/>
              </w:rPr>
              <w:t>Background; Methods - Study design</w:t>
            </w:r>
          </w:p>
        </w:tc>
        <w:tc>
          <w:tcPr>
            <w:tcW w:type="dxa" w:w="2353"/>
            <w:vAlign w:val="center"/>
          </w:tcPr>
          <w:p>
            <w:r>
              <w:rPr>
                <w:sz w:val="16"/>
              </w:rPr>
              <w:t>Reported</w:t>
            </w:r>
          </w:p>
        </w:tc>
      </w:tr>
      <w:tr>
        <w:trPr>
          <w:cantSplit/>
        </w:trPr>
        <w:tc>
          <w:tcPr>
            <w:tcW w:type="dxa" w:w="2353"/>
            <w:vAlign w:val="center"/>
          </w:tcPr>
          <w:p>
            <w:r>
              <w:rPr>
                <w:sz w:val="16"/>
              </w:rPr>
              <w:t>3c</w:t>
            </w:r>
          </w:p>
        </w:tc>
        <w:tc>
          <w:tcPr>
            <w:tcW w:type="dxa" w:w="2353"/>
            <w:vAlign w:val="center"/>
          </w:tcPr>
          <w:p>
            <w:r>
              <w:rPr>
                <w:sz w:val="16"/>
              </w:rPr>
              <w:t>Known health inequalities</w:t>
            </w:r>
          </w:p>
        </w:tc>
        <w:tc>
          <w:tcPr>
            <w:tcW w:type="dxa" w:w="2353"/>
            <w:vAlign w:val="center"/>
          </w:tcPr>
          <w:p>
            <w:r>
              <w:rPr>
                <w:sz w:val="16"/>
              </w:rPr>
              <w:t>Discussion - Limitations</w:t>
            </w:r>
          </w:p>
        </w:tc>
        <w:tc>
          <w:tcPr>
            <w:tcW w:type="dxa" w:w="2353"/>
            <w:vAlign w:val="center"/>
          </w:tcPr>
          <w:p>
            <w:r>
              <w:rPr>
                <w:sz w:val="16"/>
              </w:rPr>
              <w:t>Reported as not evaluated</w:t>
            </w:r>
          </w:p>
        </w:tc>
      </w:tr>
      <w:tr>
        <w:trPr>
          <w:cantSplit/>
        </w:trPr>
        <w:tc>
          <w:tcPr>
            <w:tcW w:type="dxa" w:w="2353"/>
            <w:vAlign w:val="center"/>
          </w:tcPr>
          <w:p>
            <w:r>
              <w:rPr>
                <w:sz w:val="16"/>
              </w:rPr>
              <w:t>4</w:t>
            </w:r>
          </w:p>
        </w:tc>
        <w:tc>
          <w:tcPr>
            <w:tcW w:type="dxa" w:w="2353"/>
            <w:vAlign w:val="center"/>
          </w:tcPr>
          <w:p>
            <w:r>
              <w:rPr>
                <w:sz w:val="16"/>
              </w:rPr>
              <w:t>Objectives</w:t>
            </w:r>
          </w:p>
        </w:tc>
        <w:tc>
          <w:tcPr>
            <w:tcW w:type="dxa" w:w="2353"/>
            <w:vAlign w:val="center"/>
          </w:tcPr>
          <w:p>
            <w:r>
              <w:rPr>
                <w:sz w:val="16"/>
              </w:rPr>
              <w:t>Background - final paragraph</w:t>
            </w:r>
          </w:p>
        </w:tc>
        <w:tc>
          <w:tcPr>
            <w:tcW w:type="dxa" w:w="2353"/>
            <w:vAlign w:val="center"/>
          </w:tcPr>
          <w:p>
            <w:r>
              <w:rPr>
                <w:sz w:val="16"/>
              </w:rPr>
              <w:t>Reported</w:t>
            </w:r>
          </w:p>
        </w:tc>
      </w:tr>
      <w:tr>
        <w:trPr>
          <w:cantSplit/>
        </w:trPr>
        <w:tc>
          <w:tcPr>
            <w:tcW w:type="dxa" w:w="2353"/>
            <w:vAlign w:val="center"/>
          </w:tcPr>
          <w:p>
            <w:r>
              <w:rPr>
                <w:sz w:val="16"/>
              </w:rPr>
              <w:t>5a</w:t>
            </w:r>
          </w:p>
        </w:tc>
        <w:tc>
          <w:tcPr>
            <w:tcW w:type="dxa" w:w="2353"/>
            <w:vAlign w:val="center"/>
          </w:tcPr>
          <w:p>
            <w:r>
              <w:rPr>
                <w:sz w:val="16"/>
              </w:rPr>
              <w:t>Data sources rationale and representativeness</w:t>
            </w:r>
          </w:p>
        </w:tc>
        <w:tc>
          <w:tcPr>
            <w:tcW w:type="dxa" w:w="2353"/>
            <w:vAlign w:val="center"/>
          </w:tcPr>
          <w:p>
            <w:r>
              <w:rPr>
                <w:sz w:val="16"/>
              </w:rPr>
              <w:t>Methods - Study design and Predictors and outcomes; provenance/SOURCES.md</w:t>
            </w:r>
          </w:p>
        </w:tc>
        <w:tc>
          <w:tcPr>
            <w:tcW w:type="dxa" w:w="2353"/>
            <w:vAlign w:val="center"/>
          </w:tcPr>
          <w:p>
            <w:r>
              <w:rPr>
                <w:sz w:val="16"/>
              </w:rPr>
              <w:t>Reported</w:t>
            </w:r>
          </w:p>
        </w:tc>
      </w:tr>
      <w:tr>
        <w:trPr>
          <w:cantSplit/>
        </w:trPr>
        <w:tc>
          <w:tcPr>
            <w:tcW w:type="dxa" w:w="2353"/>
            <w:vAlign w:val="center"/>
          </w:tcPr>
          <w:p>
            <w:r>
              <w:rPr>
                <w:sz w:val="16"/>
              </w:rPr>
              <w:t>5b</w:t>
            </w:r>
          </w:p>
        </w:tc>
        <w:tc>
          <w:tcPr>
            <w:tcW w:type="dxa" w:w="2353"/>
            <w:vAlign w:val="center"/>
          </w:tcPr>
          <w:p>
            <w:r>
              <w:rPr>
                <w:sz w:val="16"/>
              </w:rPr>
              <w:t>Participant-data dates</w:t>
            </w:r>
          </w:p>
        </w:tc>
        <w:tc>
          <w:tcPr>
            <w:tcW w:type="dxa" w:w="2353"/>
            <w:vAlign w:val="center"/>
          </w:tcPr>
          <w:p>
            <w:r>
              <w:rPr>
                <w:sz w:val="16"/>
              </w:rPr>
              <w:t>Methods - Study design; provenance/SOURCES.md</w:t>
            </w:r>
          </w:p>
        </w:tc>
        <w:tc>
          <w:tcPr>
            <w:tcW w:type="dxa" w:w="2353"/>
            <w:vAlign w:val="center"/>
          </w:tcPr>
          <w:p>
            <w:r>
              <w:rPr>
                <w:sz w:val="16"/>
              </w:rPr>
              <w:t>Historical TCGA cohort and analysis access documented; accrual dates not available in analytic files</w:t>
            </w:r>
          </w:p>
        </w:tc>
      </w:tr>
      <w:tr>
        <w:trPr>
          <w:cantSplit/>
        </w:trPr>
        <w:tc>
          <w:tcPr>
            <w:tcW w:type="dxa" w:w="2353"/>
            <w:vAlign w:val="center"/>
          </w:tcPr>
          <w:p>
            <w:r>
              <w:rPr>
                <w:sz w:val="16"/>
              </w:rPr>
              <w:t>6a</w:t>
            </w:r>
          </w:p>
        </w:tc>
        <w:tc>
          <w:tcPr>
            <w:tcW w:type="dxa" w:w="2353"/>
            <w:vAlign w:val="center"/>
          </w:tcPr>
          <w:p>
            <w:r>
              <w:rPr>
                <w:sz w:val="16"/>
              </w:rPr>
              <w:t>Study setting centres and locations</w:t>
            </w:r>
          </w:p>
        </w:tc>
        <w:tc>
          <w:tcPr>
            <w:tcW w:type="dxa" w:w="2353"/>
            <w:vAlign w:val="center"/>
          </w:tcPr>
          <w:p>
            <w:r>
              <w:rPr>
                <w:sz w:val="16"/>
              </w:rPr>
              <w:t>Methods - Study design; site-grouped sensitivity</w:t>
            </w:r>
          </w:p>
        </w:tc>
        <w:tc>
          <w:tcPr>
            <w:tcW w:type="dxa" w:w="2353"/>
            <w:vAlign w:val="center"/>
          </w:tcPr>
          <w:p>
            <w:r>
              <w:rPr>
                <w:sz w:val="16"/>
              </w:rPr>
              <w:t>Reported as multicentre TCGA with tissue-source-site audit</w:t>
            </w:r>
          </w:p>
        </w:tc>
      </w:tr>
      <w:tr>
        <w:trPr>
          <w:cantSplit/>
        </w:trPr>
        <w:tc>
          <w:tcPr>
            <w:tcW w:type="dxa" w:w="2353"/>
            <w:vAlign w:val="center"/>
          </w:tcPr>
          <w:p>
            <w:r>
              <w:rPr>
                <w:sz w:val="16"/>
              </w:rPr>
              <w:t>6b</w:t>
            </w:r>
          </w:p>
        </w:tc>
        <w:tc>
          <w:tcPr>
            <w:tcW w:type="dxa" w:w="2353"/>
            <w:vAlign w:val="center"/>
          </w:tcPr>
          <w:p>
            <w:r>
              <w:rPr>
                <w:sz w:val="16"/>
              </w:rPr>
              <w:t>Participant eligibility</w:t>
            </w:r>
          </w:p>
        </w:tc>
        <w:tc>
          <w:tcPr>
            <w:tcW w:type="dxa" w:w="2353"/>
            <w:vAlign w:val="center"/>
          </w:tcPr>
          <w:p>
            <w:r>
              <w:rPr>
                <w:sz w:val="16"/>
              </w:rPr>
              <w:t>Methods - Study design</w:t>
            </w:r>
          </w:p>
        </w:tc>
        <w:tc>
          <w:tcPr>
            <w:tcW w:type="dxa" w:w="2353"/>
            <w:vAlign w:val="center"/>
          </w:tcPr>
          <w:p>
            <w:r>
              <w:rPr>
                <w:sz w:val="16"/>
              </w:rPr>
              <w:t>Reported</w:t>
            </w:r>
          </w:p>
        </w:tc>
      </w:tr>
      <w:tr>
        <w:trPr>
          <w:cantSplit/>
        </w:trPr>
        <w:tc>
          <w:tcPr>
            <w:tcW w:type="dxa" w:w="2353"/>
            <w:vAlign w:val="center"/>
          </w:tcPr>
          <w:p>
            <w:r>
              <w:rPr>
                <w:sz w:val="16"/>
              </w:rPr>
              <w:t>6c</w:t>
            </w:r>
          </w:p>
        </w:tc>
        <w:tc>
          <w:tcPr>
            <w:tcW w:type="dxa" w:w="2353"/>
            <w:vAlign w:val="center"/>
          </w:tcPr>
          <w:p>
            <w:r>
              <w:rPr>
                <w:sz w:val="16"/>
              </w:rPr>
              <w:t>Treatments</w:t>
            </w:r>
          </w:p>
        </w:tc>
        <w:tc>
          <w:tcPr>
            <w:tcW w:type="dxa" w:w="2353"/>
            <w:vAlign w:val="center"/>
          </w:tcPr>
          <w:p>
            <w:r>
              <w:rPr>
                <w:sz w:val="16"/>
              </w:rPr>
              <w:t>Methods - Study design</w:t>
            </w:r>
          </w:p>
        </w:tc>
        <w:tc>
          <w:tcPr>
            <w:tcW w:type="dxa" w:w="2353"/>
            <w:vAlign w:val="center"/>
          </w:tcPr>
          <w:p>
            <w:r>
              <w:rPr>
                <w:sz w:val="16"/>
              </w:rPr>
              <w:t>Not applicable; no treatment or prognosis endpoint</w:t>
            </w:r>
          </w:p>
        </w:tc>
      </w:tr>
      <w:tr>
        <w:trPr>
          <w:cantSplit/>
        </w:trPr>
        <w:tc>
          <w:tcPr>
            <w:tcW w:type="dxa" w:w="2353"/>
            <w:vAlign w:val="center"/>
          </w:tcPr>
          <w:p>
            <w:r>
              <w:rPr>
                <w:sz w:val="16"/>
              </w:rPr>
              <w:t>7</w:t>
            </w:r>
          </w:p>
        </w:tc>
        <w:tc>
          <w:tcPr>
            <w:tcW w:type="dxa" w:w="2353"/>
            <w:vAlign w:val="center"/>
          </w:tcPr>
          <w:p>
            <w:r>
              <w:rPr>
                <w:sz w:val="16"/>
              </w:rPr>
              <w:t>Data preparation and quality checking</w:t>
            </w:r>
          </w:p>
        </w:tc>
        <w:tc>
          <w:tcPr>
            <w:tcW w:type="dxa" w:w="2353"/>
            <w:vAlign w:val="center"/>
          </w:tcPr>
          <w:p>
            <w:r>
              <w:rPr>
                <w:sz w:val="16"/>
              </w:rPr>
              <w:t>Methods - Study design and Predictors and outcomes; Supplementary Tables S2-S4</w:t>
            </w:r>
          </w:p>
        </w:tc>
        <w:tc>
          <w:tcPr>
            <w:tcW w:type="dxa" w:w="2353"/>
            <w:vAlign w:val="center"/>
          </w:tcPr>
          <w:p>
            <w:r>
              <w:rPr>
                <w:sz w:val="16"/>
              </w:rPr>
              <w:t>Reported</w:t>
            </w:r>
          </w:p>
        </w:tc>
      </w:tr>
      <w:tr>
        <w:trPr>
          <w:cantSplit/>
        </w:trPr>
        <w:tc>
          <w:tcPr>
            <w:tcW w:type="dxa" w:w="2353"/>
            <w:vAlign w:val="center"/>
          </w:tcPr>
          <w:p>
            <w:r>
              <w:rPr>
                <w:sz w:val="16"/>
              </w:rPr>
              <w:t>8a</w:t>
            </w:r>
          </w:p>
        </w:tc>
        <w:tc>
          <w:tcPr>
            <w:tcW w:type="dxa" w:w="2353"/>
            <w:vAlign w:val="center"/>
          </w:tcPr>
          <w:p>
            <w:r>
              <w:rPr>
                <w:sz w:val="16"/>
              </w:rPr>
              <w:t>Outcome definitions and assessment</w:t>
            </w:r>
          </w:p>
        </w:tc>
        <w:tc>
          <w:tcPr>
            <w:tcW w:type="dxa" w:w="2353"/>
            <w:vAlign w:val="center"/>
          </w:tcPr>
          <w:p>
            <w:r>
              <w:rPr>
                <w:sz w:val="16"/>
              </w:rPr>
              <w:t>Methods - Predictors and outcomes; target catalogues</w:t>
            </w:r>
          </w:p>
        </w:tc>
        <w:tc>
          <w:tcPr>
            <w:tcW w:type="dxa" w:w="2353"/>
            <w:vAlign w:val="center"/>
          </w:tcPr>
          <w:p>
            <w:r>
              <w:rPr>
                <w:sz w:val="16"/>
              </w:rPr>
              <w:t>Reported</w:t>
            </w:r>
          </w:p>
        </w:tc>
      </w:tr>
      <w:tr>
        <w:trPr>
          <w:cantSplit/>
        </w:trPr>
        <w:tc>
          <w:tcPr>
            <w:tcW w:type="dxa" w:w="2353"/>
            <w:vAlign w:val="center"/>
          </w:tcPr>
          <w:p>
            <w:r>
              <w:rPr>
                <w:sz w:val="16"/>
              </w:rPr>
              <w:t>8b</w:t>
            </w:r>
          </w:p>
        </w:tc>
        <w:tc>
          <w:tcPr>
            <w:tcW w:type="dxa" w:w="2353"/>
            <w:vAlign w:val="center"/>
          </w:tcPr>
          <w:p>
            <w:r>
              <w:rPr>
                <w:sz w:val="16"/>
              </w:rPr>
              <w:t>Subjective outcome assessors</w:t>
            </w:r>
          </w:p>
        </w:tc>
        <w:tc>
          <w:tcPr>
            <w:tcW w:type="dxa" w:w="2353"/>
            <w:vAlign w:val="center"/>
          </w:tcPr>
          <w:p>
            <w:r>
              <w:rPr>
                <w:sz w:val="16"/>
              </w:rPr>
              <w:t>Methods - Predictors and outcomes</w:t>
            </w:r>
          </w:p>
        </w:tc>
        <w:tc>
          <w:tcPr>
            <w:tcW w:type="dxa" w:w="2353"/>
            <w:vAlign w:val="center"/>
          </w:tcPr>
          <w:p>
            <w:r>
              <w:rPr>
                <w:sz w:val="16"/>
              </w:rPr>
              <w:t>Not applicable; curated molecular and computational outcomes</w:t>
            </w:r>
          </w:p>
        </w:tc>
      </w:tr>
      <w:tr>
        <w:trPr>
          <w:cantSplit/>
        </w:trPr>
        <w:tc>
          <w:tcPr>
            <w:tcW w:type="dxa" w:w="2353"/>
            <w:vAlign w:val="center"/>
          </w:tcPr>
          <w:p>
            <w:r>
              <w:rPr>
                <w:sz w:val="16"/>
              </w:rPr>
              <w:t>8c</w:t>
            </w:r>
          </w:p>
        </w:tc>
        <w:tc>
          <w:tcPr>
            <w:tcW w:type="dxa" w:w="2353"/>
            <w:vAlign w:val="center"/>
          </w:tcPr>
          <w:p>
            <w:r>
              <w:rPr>
                <w:sz w:val="16"/>
              </w:rPr>
              <w:t>Blinding of outcome assessment</w:t>
            </w:r>
          </w:p>
        </w:tc>
        <w:tc>
          <w:tcPr>
            <w:tcW w:type="dxa" w:w="2353"/>
            <w:vAlign w:val="center"/>
          </w:tcPr>
          <w:p>
            <w:r>
              <w:rPr>
                <w:sz w:val="16"/>
              </w:rPr>
              <w:t>Methods - Study design</w:t>
            </w:r>
          </w:p>
        </w:tc>
        <w:tc>
          <w:tcPr>
            <w:tcW w:type="dxa" w:w="2353"/>
            <w:vAlign w:val="center"/>
          </w:tcPr>
          <w:p>
            <w:r>
              <w:rPr>
                <w:sz w:val="16"/>
              </w:rPr>
              <w:t>Outcomes constructed independently before predictor joining</w:t>
            </w:r>
          </w:p>
        </w:tc>
      </w:tr>
      <w:tr>
        <w:trPr>
          <w:cantSplit/>
        </w:trPr>
        <w:tc>
          <w:tcPr>
            <w:tcW w:type="dxa" w:w="2353"/>
            <w:vAlign w:val="center"/>
          </w:tcPr>
          <w:p>
            <w:r>
              <w:rPr>
                <w:sz w:val="16"/>
              </w:rPr>
              <w:t>9a</w:t>
            </w:r>
          </w:p>
        </w:tc>
        <w:tc>
          <w:tcPr>
            <w:tcW w:type="dxa" w:w="2353"/>
            <w:vAlign w:val="center"/>
          </w:tcPr>
          <w:p>
            <w:r>
              <w:rPr>
                <w:sz w:val="16"/>
              </w:rPr>
              <w:t>Choice of initial predictors</w:t>
            </w:r>
          </w:p>
        </w:tc>
        <w:tc>
          <w:tcPr>
            <w:tcW w:type="dxa" w:w="2353"/>
            <w:vAlign w:val="center"/>
          </w:tcPr>
          <w:p>
            <w:r>
              <w:rPr>
                <w:sz w:val="16"/>
              </w:rPr>
              <w:t>Methods - Predictors and outcomes</w:t>
            </w:r>
          </w:p>
        </w:tc>
        <w:tc>
          <w:tcPr>
            <w:tcW w:type="dxa" w:w="2353"/>
            <w:vAlign w:val="center"/>
          </w:tcPr>
          <w:p>
            <w:r>
              <w:rPr>
                <w:sz w:val="16"/>
              </w:rPr>
              <w:t>All 768 fixed pretrained TITAN dimensions prespecified</w:t>
            </w:r>
          </w:p>
        </w:tc>
      </w:tr>
      <w:tr>
        <w:trPr>
          <w:cantSplit/>
        </w:trPr>
        <w:tc>
          <w:tcPr>
            <w:tcW w:type="dxa" w:w="2353"/>
            <w:vAlign w:val="center"/>
          </w:tcPr>
          <w:p>
            <w:r>
              <w:rPr>
                <w:sz w:val="16"/>
              </w:rPr>
              <w:t>9b</w:t>
            </w:r>
          </w:p>
        </w:tc>
        <w:tc>
          <w:tcPr>
            <w:tcW w:type="dxa" w:w="2353"/>
            <w:vAlign w:val="center"/>
          </w:tcPr>
          <w:p>
            <w:r>
              <w:rPr>
                <w:sz w:val="16"/>
              </w:rPr>
              <w:t>Predictor definitions and measurement</w:t>
            </w:r>
          </w:p>
        </w:tc>
        <w:tc>
          <w:tcPr>
            <w:tcW w:type="dxa" w:w="2353"/>
            <w:vAlign w:val="center"/>
          </w:tcPr>
          <w:p>
            <w:r>
              <w:rPr>
                <w:sz w:val="16"/>
              </w:rPr>
              <w:t>Methods - Predictors and outcomes; provenance/SOURCES.md</w:t>
            </w:r>
          </w:p>
        </w:tc>
        <w:tc>
          <w:tcPr>
            <w:tcW w:type="dxa" w:w="2353"/>
            <w:vAlign w:val="center"/>
          </w:tcPr>
          <w:p>
            <w:r>
              <w:rPr>
                <w:sz w:val="16"/>
              </w:rPr>
              <w:t>Reported</w:t>
            </w:r>
          </w:p>
        </w:tc>
      </w:tr>
      <w:tr>
        <w:trPr>
          <w:cantSplit/>
        </w:trPr>
        <w:tc>
          <w:tcPr>
            <w:tcW w:type="dxa" w:w="2353"/>
            <w:vAlign w:val="center"/>
          </w:tcPr>
          <w:p>
            <w:r>
              <w:rPr>
                <w:sz w:val="16"/>
              </w:rPr>
              <w:t>9c</w:t>
            </w:r>
          </w:p>
        </w:tc>
        <w:tc>
          <w:tcPr>
            <w:tcW w:type="dxa" w:w="2353"/>
            <w:vAlign w:val="center"/>
          </w:tcPr>
          <w:p>
            <w:r>
              <w:rPr>
                <w:sz w:val="16"/>
              </w:rPr>
              <w:t>Subjective predictor assessors</w:t>
            </w:r>
          </w:p>
        </w:tc>
        <w:tc>
          <w:tcPr>
            <w:tcW w:type="dxa" w:w="2353"/>
            <w:vAlign w:val="center"/>
          </w:tcPr>
          <w:p>
            <w:r>
              <w:rPr>
                <w:sz w:val="16"/>
              </w:rPr>
              <w:t>Methods - Predictors and outcomes</w:t>
            </w:r>
          </w:p>
        </w:tc>
        <w:tc>
          <w:tcPr>
            <w:tcW w:type="dxa" w:w="2353"/>
            <w:vAlign w:val="center"/>
          </w:tcPr>
          <w:p>
            <w:r>
              <w:rPr>
                <w:sz w:val="16"/>
              </w:rPr>
              <w:t>Not applicable; fixed numeric embeddings</w:t>
            </w:r>
          </w:p>
        </w:tc>
      </w:tr>
      <w:tr>
        <w:trPr>
          <w:cantSplit/>
        </w:trPr>
        <w:tc>
          <w:tcPr>
            <w:tcW w:type="dxa" w:w="2353"/>
            <w:vAlign w:val="center"/>
          </w:tcPr>
          <w:p>
            <w:r>
              <w:rPr>
                <w:sz w:val="16"/>
              </w:rPr>
              <w:t>10</w:t>
            </w:r>
          </w:p>
        </w:tc>
        <w:tc>
          <w:tcPr>
            <w:tcW w:type="dxa" w:w="2353"/>
            <w:vAlign w:val="center"/>
          </w:tcPr>
          <w:p>
            <w:r>
              <w:rPr>
                <w:sz w:val="16"/>
              </w:rPr>
              <w:t>Sample size</w:t>
            </w:r>
          </w:p>
        </w:tc>
        <w:tc>
          <w:tcPr>
            <w:tcW w:type="dxa" w:w="2353"/>
            <w:vAlign w:val="center"/>
          </w:tcPr>
          <w:p>
            <w:r>
              <w:rPr>
                <w:sz w:val="16"/>
              </w:rPr>
              <w:t>Methods - eligibility paragraph</w:t>
            </w:r>
          </w:p>
        </w:tc>
        <w:tc>
          <w:tcPr>
            <w:tcW w:type="dxa" w:w="2353"/>
            <w:vAlign w:val="center"/>
          </w:tcPr>
          <w:p>
            <w:r>
              <w:rPr>
                <w:sz w:val="16"/>
              </w:rPr>
              <w:t>All available eligible data used; prespecified minimum denominators reported; no formal power calculation</w:t>
            </w:r>
          </w:p>
        </w:tc>
      </w:tr>
      <w:tr>
        <w:trPr>
          <w:cantSplit/>
        </w:trPr>
        <w:tc>
          <w:tcPr>
            <w:tcW w:type="dxa" w:w="2353"/>
            <w:vAlign w:val="center"/>
          </w:tcPr>
          <w:p>
            <w:r>
              <w:rPr>
                <w:sz w:val="16"/>
              </w:rPr>
              <w:t>11</w:t>
            </w:r>
          </w:p>
        </w:tc>
        <w:tc>
          <w:tcPr>
            <w:tcW w:type="dxa" w:w="2353"/>
            <w:vAlign w:val="center"/>
          </w:tcPr>
          <w:p>
            <w:r>
              <w:rPr>
                <w:sz w:val="16"/>
              </w:rPr>
              <w:t>Missing data</w:t>
            </w:r>
          </w:p>
        </w:tc>
        <w:tc>
          <w:tcPr>
            <w:tcW w:type="dxa" w:w="2353"/>
            <w:vAlign w:val="center"/>
          </w:tcPr>
          <w:p>
            <w:r>
              <w:rPr>
                <w:sz w:val="16"/>
              </w:rPr>
              <w:t>Methods - Predictors and outcomes; Supplementary Tables S3-S4</w:t>
            </w:r>
          </w:p>
        </w:tc>
        <w:tc>
          <w:tcPr>
            <w:tcW w:type="dxa" w:w="2353"/>
            <w:vAlign w:val="center"/>
          </w:tcPr>
          <w:p>
            <w:r>
              <w:rPr>
                <w:sz w:val="16"/>
              </w:rPr>
              <w:t>Reported</w:t>
            </w:r>
          </w:p>
        </w:tc>
      </w:tr>
      <w:tr>
        <w:trPr>
          <w:cantSplit/>
        </w:trPr>
        <w:tc>
          <w:tcPr>
            <w:tcW w:type="dxa" w:w="2353"/>
            <w:vAlign w:val="center"/>
          </w:tcPr>
          <w:p>
            <w:r>
              <w:rPr>
                <w:sz w:val="16"/>
              </w:rPr>
              <w:t>12a</w:t>
            </w:r>
          </w:p>
        </w:tc>
        <w:tc>
          <w:tcPr>
            <w:tcW w:type="dxa" w:w="2353"/>
            <w:vAlign w:val="center"/>
          </w:tcPr>
          <w:p>
            <w:r>
              <w:rPr>
                <w:sz w:val="16"/>
              </w:rPr>
              <w:t>Data partitioning and leakage prevention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12b</w:t>
            </w:r>
          </w:p>
        </w:tc>
        <w:tc>
          <w:tcPr>
            <w:tcW w:type="dxa" w:w="2353"/>
            <w:vAlign w:val="center"/>
          </w:tcPr>
          <w:p>
            <w:r>
              <w:rPr>
                <w:sz w:val="16"/>
              </w:rPr>
              <w:t>Predictor handling and standardisation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12c</w:t>
            </w:r>
          </w:p>
        </w:tc>
        <w:tc>
          <w:tcPr>
            <w:tcW w:type="dxa" w:w="2353"/>
            <w:vAlign w:val="center"/>
          </w:tcPr>
          <w:p>
            <w:r>
              <w:rPr>
                <w:sz w:val="16"/>
              </w:rPr>
              <w:t>Model building tuning and internal evaluation</w:t>
            </w:r>
          </w:p>
        </w:tc>
        <w:tc>
          <w:tcPr>
            <w:tcW w:type="dxa" w:w="2353"/>
            <w:vAlign w:val="center"/>
          </w:tcPr>
          <w:p>
            <w:r>
              <w:rPr>
                <w:sz w:val="16"/>
              </w:rPr>
              <w:t>Methods - PLS1 regression and PLS-LDA classification</w:t>
            </w:r>
          </w:p>
        </w:tc>
        <w:tc>
          <w:tcPr>
            <w:tcW w:type="dxa" w:w="2353"/>
            <w:vAlign w:val="center"/>
          </w:tcPr>
          <w:p>
            <w:r>
              <w:rPr>
                <w:sz w:val="16"/>
              </w:rPr>
              <w:t>Reported</w:t>
            </w:r>
          </w:p>
        </w:tc>
      </w:tr>
      <w:tr>
        <w:trPr>
          <w:cantSplit/>
        </w:trPr>
        <w:tc>
          <w:tcPr>
            <w:tcW w:type="dxa" w:w="2353"/>
            <w:vAlign w:val="center"/>
          </w:tcPr>
          <w:p>
            <w:r>
              <w:rPr>
                <w:sz w:val="16"/>
              </w:rPr>
              <w:t>12d</w:t>
            </w:r>
          </w:p>
        </w:tc>
        <w:tc>
          <w:tcPr>
            <w:tcW w:type="dxa" w:w="2353"/>
            <w:vAlign w:val="center"/>
          </w:tcPr>
          <w:p>
            <w:r>
              <w:rPr>
                <w:sz w:val="16"/>
              </w:rPr>
              <w:t>Clustering and heterogeneity</w:t>
            </w:r>
          </w:p>
        </w:tc>
        <w:tc>
          <w:tcPr>
            <w:tcW w:type="dxa" w:w="2353"/>
            <w:vAlign w:val="center"/>
          </w:tcPr>
          <w:p>
            <w:r>
              <w:rPr>
                <w:sz w:val="16"/>
              </w:rPr>
              <w:t>Methods - Robustness; Results - Site and multiple-slide sensitivity</w:t>
            </w:r>
          </w:p>
        </w:tc>
        <w:tc>
          <w:tcPr>
            <w:tcW w:type="dxa" w:w="2353"/>
            <w:vAlign w:val="center"/>
          </w:tcPr>
          <w:p>
            <w:r>
              <w:rPr>
                <w:sz w:val="16"/>
              </w:rPr>
              <w:t>Reported through tissue-source-site grouped evaluation</w:t>
            </w:r>
          </w:p>
        </w:tc>
      </w:tr>
      <w:tr>
        <w:trPr>
          <w:cantSplit/>
        </w:trPr>
        <w:tc>
          <w:tcPr>
            <w:tcW w:type="dxa" w:w="2353"/>
            <w:vAlign w:val="center"/>
          </w:tcPr>
          <w:p>
            <w:r>
              <w:rPr>
                <w:sz w:val="16"/>
              </w:rPr>
              <w:t>12e</w:t>
            </w:r>
          </w:p>
        </w:tc>
        <w:tc>
          <w:tcPr>
            <w:tcW w:type="dxa" w:w="2353"/>
            <w:vAlign w:val="center"/>
          </w:tcPr>
          <w:p>
            <w:r>
              <w:rPr>
                <w:sz w:val="16"/>
              </w:rPr>
              <w:t>Performance measures and plots</w:t>
            </w:r>
          </w:p>
        </w:tc>
        <w:tc>
          <w:tcPr>
            <w:tcW w:type="dxa" w:w="2353"/>
            <w:vAlign w:val="center"/>
          </w:tcPr>
          <w:p>
            <w:r>
              <w:rPr>
                <w:sz w:val="16"/>
              </w:rPr>
              <w:t>Methods - Robustness; Table 2; Figure 4; Supplementary Table S5</w:t>
            </w:r>
          </w:p>
        </w:tc>
        <w:tc>
          <w:tcPr>
            <w:tcW w:type="dxa" w:w="2353"/>
            <w:vAlign w:val="center"/>
          </w:tcPr>
          <w:p>
            <w:r>
              <w:rPr>
                <w:sz w:val="16"/>
              </w:rPr>
              <w:t>Reported; calibration not applicable because no probability output</w:t>
            </w:r>
          </w:p>
        </w:tc>
      </w:tr>
      <w:tr>
        <w:trPr>
          <w:cantSplit/>
        </w:trPr>
        <w:tc>
          <w:tcPr>
            <w:tcW w:type="dxa" w:w="2353"/>
            <w:vAlign w:val="center"/>
          </w:tcPr>
          <w:p>
            <w:r>
              <w:rPr>
                <w:sz w:val="16"/>
              </w:rPr>
              <w:t>12f</w:t>
            </w:r>
          </w:p>
        </w:tc>
        <w:tc>
          <w:tcPr>
            <w:tcW w:type="dxa" w:w="2353"/>
            <w:vAlign w:val="center"/>
          </w:tcPr>
          <w:p>
            <w:r>
              <w:rPr>
                <w:sz w:val="16"/>
              </w:rPr>
              <w:t>Model updating</w:t>
            </w:r>
          </w:p>
        </w:tc>
        <w:tc>
          <w:tcPr>
            <w:tcW w:type="dxa" w:w="2353"/>
            <w:vAlign w:val="center"/>
          </w:tcPr>
          <w:p>
            <w:r>
              <w:rPr>
                <w:sz w:val="16"/>
              </w:rPr>
              <w:t>Methods - Software transparency and validation status</w:t>
            </w:r>
          </w:p>
        </w:tc>
        <w:tc>
          <w:tcPr>
            <w:tcW w:type="dxa" w:w="2353"/>
            <w:vAlign w:val="center"/>
          </w:tcPr>
          <w:p>
            <w:r>
              <w:rPr>
                <w:sz w:val="16"/>
              </w:rPr>
              <w:t>Not applicable; no external model updating</w:t>
            </w:r>
          </w:p>
        </w:tc>
      </w:tr>
      <w:tr>
        <w:trPr>
          <w:cantSplit/>
        </w:trPr>
        <w:tc>
          <w:tcPr>
            <w:tcW w:type="dxa" w:w="2353"/>
            <w:vAlign w:val="center"/>
          </w:tcPr>
          <w:p>
            <w:r>
              <w:rPr>
                <w:sz w:val="16"/>
              </w:rPr>
              <w:t>12g</w:t>
            </w:r>
          </w:p>
        </w:tc>
        <w:tc>
          <w:tcPr>
            <w:tcW w:type="dxa" w:w="2353"/>
            <w:vAlign w:val="center"/>
          </w:tcPr>
          <w:p>
            <w:r>
              <w:rPr>
                <w:sz w:val="16"/>
              </w:rPr>
              <w:t>Calculation of evaluated model predictions</w:t>
            </w:r>
          </w:p>
        </w:tc>
        <w:tc>
          <w:tcPr>
            <w:tcW w:type="dxa" w:w="2353"/>
            <w:vAlign w:val="center"/>
          </w:tcPr>
          <w:p>
            <w:r>
              <w:rPr>
                <w:sz w:val="16"/>
              </w:rPr>
              <w:t>Repository inference example and model registry</w:t>
            </w:r>
          </w:p>
        </w:tc>
        <w:tc>
          <w:tcPr>
            <w:tcW w:type="dxa" w:w="2353"/>
            <w:vAlign w:val="center"/>
          </w:tcPr>
          <w:p>
            <w:r>
              <w:rPr>
                <w:sz w:val="16"/>
              </w:rPr>
              <w:t>Reported</w:t>
            </w:r>
          </w:p>
        </w:tc>
      </w:tr>
      <w:tr>
        <w:trPr>
          <w:cantSplit/>
        </w:trPr>
        <w:tc>
          <w:tcPr>
            <w:tcW w:type="dxa" w:w="2353"/>
            <w:vAlign w:val="center"/>
          </w:tcPr>
          <w:p>
            <w:r>
              <w:rPr>
                <w:sz w:val="16"/>
              </w:rPr>
              <w:t>13</w:t>
            </w:r>
          </w:p>
        </w:tc>
        <w:tc>
          <w:tcPr>
            <w:tcW w:type="dxa" w:w="2353"/>
            <w:vAlign w:val="center"/>
          </w:tcPr>
          <w:p>
            <w:r>
              <w:rPr>
                <w:sz w:val="16"/>
              </w:rPr>
              <w:t>Class imbalance</w:t>
            </w:r>
          </w:p>
        </w:tc>
        <w:tc>
          <w:tcPr>
            <w:tcW w:type="dxa" w:w="2353"/>
            <w:vAlign w:val="center"/>
          </w:tcPr>
          <w:p>
            <w:r>
              <w:rPr>
                <w:sz w:val="16"/>
              </w:rPr>
              <w:t>Methods - PLS1 regression and PLS-LDA classification</w:t>
            </w:r>
          </w:p>
        </w:tc>
        <w:tc>
          <w:tcPr>
            <w:tcW w:type="dxa" w:w="2353"/>
            <w:vAlign w:val="center"/>
          </w:tcPr>
          <w:p>
            <w:r>
              <w:rPr>
                <w:sz w:val="16"/>
              </w:rPr>
              <w:t>No resampling used; balanced accuracy and observed LDA priors reported</w:t>
            </w:r>
          </w:p>
        </w:tc>
      </w:tr>
      <w:tr>
        <w:trPr>
          <w:cantSplit/>
        </w:trPr>
        <w:tc>
          <w:tcPr>
            <w:tcW w:type="dxa" w:w="2353"/>
            <w:vAlign w:val="center"/>
          </w:tcPr>
          <w:p>
            <w:r>
              <w:rPr>
                <w:sz w:val="16"/>
              </w:rPr>
              <w:t>14</w:t>
            </w:r>
          </w:p>
        </w:tc>
        <w:tc>
          <w:tcPr>
            <w:tcW w:type="dxa" w:w="2353"/>
            <w:vAlign w:val="center"/>
          </w:tcPr>
          <w:p>
            <w:r>
              <w:rPr>
                <w:sz w:val="16"/>
              </w:rPr>
              <w:t>Fairness</w:t>
            </w:r>
          </w:p>
        </w:tc>
        <w:tc>
          <w:tcPr>
            <w:tcW w:type="dxa" w:w="2353"/>
            <w:vAlign w:val="center"/>
          </w:tcPr>
          <w:p>
            <w:r>
              <w:rPr>
                <w:sz w:val="16"/>
              </w:rPr>
              <w:t>Discussion - Limitations</w:t>
            </w:r>
          </w:p>
        </w:tc>
        <w:tc>
          <w:tcPr>
            <w:tcW w:type="dxa" w:w="2353"/>
            <w:vAlign w:val="center"/>
          </w:tcPr>
          <w:p>
            <w:r>
              <w:rPr>
                <w:sz w:val="16"/>
              </w:rPr>
              <w:t>No fairness intervention or subgroup evaluation; explicitly limited</w:t>
            </w:r>
          </w:p>
        </w:tc>
      </w:tr>
      <w:tr>
        <w:trPr>
          <w:cantSplit/>
        </w:trPr>
        <w:tc>
          <w:tcPr>
            <w:tcW w:type="dxa" w:w="2353"/>
            <w:vAlign w:val="center"/>
          </w:tcPr>
          <w:p>
            <w:r>
              <w:rPr>
                <w:sz w:val="16"/>
              </w:rPr>
              <w:t>15</w:t>
            </w:r>
          </w:p>
        </w:tc>
        <w:tc>
          <w:tcPr>
            <w:tcW w:type="dxa" w:w="2353"/>
            <w:vAlign w:val="center"/>
          </w:tcPr>
          <w:p>
            <w:r>
              <w:rPr>
                <w:sz w:val="16"/>
              </w:rPr>
              <w:t>Model output classification and thresholds</w:t>
            </w:r>
          </w:p>
        </w:tc>
        <w:tc>
          <w:tcPr>
            <w:tcW w:type="dxa" w:w="2353"/>
            <w:vAlign w:val="center"/>
          </w:tcPr>
          <w:p>
            <w:r>
              <w:rPr>
                <w:sz w:val="16"/>
              </w:rPr>
              <w:t>Methods - PLS1 regression and PLS-LDA classification; models/README.md</w:t>
            </w:r>
          </w:p>
        </w:tc>
        <w:tc>
          <w:tcPr>
            <w:tcW w:type="dxa" w:w="2353"/>
            <w:vAlign w:val="center"/>
          </w:tcPr>
          <w:p>
            <w:r>
              <w:rPr>
                <w:sz w:val="16"/>
              </w:rPr>
              <w:t>Reported; LDA class and uncalibrated score</w:t>
            </w:r>
          </w:p>
        </w:tc>
      </w:tr>
      <w:tr>
        <w:trPr>
          <w:cantSplit/>
        </w:trPr>
        <w:tc>
          <w:tcPr>
            <w:tcW w:type="dxa" w:w="2353"/>
            <w:vAlign w:val="center"/>
          </w:tcPr>
          <w:p>
            <w:r>
              <w:rPr>
                <w:sz w:val="16"/>
              </w:rPr>
              <w:t>16</w:t>
            </w:r>
          </w:p>
        </w:tc>
        <w:tc>
          <w:tcPr>
            <w:tcW w:type="dxa" w:w="2353"/>
            <w:vAlign w:val="center"/>
          </w:tcPr>
          <w:p>
            <w:r>
              <w:rPr>
                <w:sz w:val="16"/>
              </w:rPr>
              <w:t>Differences between development and evaluation data</w:t>
            </w:r>
          </w:p>
        </w:tc>
        <w:tc>
          <w:tcPr>
            <w:tcW w:type="dxa" w:w="2353"/>
            <w:vAlign w:val="center"/>
          </w:tcPr>
          <w:p>
            <w:r>
              <w:rPr>
                <w:sz w:val="16"/>
              </w:rPr>
              <w:t>Discussion - Limitations</w:t>
            </w:r>
          </w:p>
        </w:tc>
        <w:tc>
          <w:tcPr>
            <w:tcW w:type="dxa" w:w="2353"/>
            <w:vAlign w:val="center"/>
          </w:tcPr>
          <w:p>
            <w:r>
              <w:rPr>
                <w:sz w:val="16"/>
              </w:rPr>
              <w:t>Not applicable; no external evaluation cohort</w:t>
            </w:r>
          </w:p>
        </w:tc>
      </w:tr>
      <w:tr>
        <w:trPr>
          <w:cantSplit/>
        </w:trPr>
        <w:tc>
          <w:tcPr>
            <w:tcW w:type="dxa" w:w="2353"/>
            <w:vAlign w:val="center"/>
          </w:tcPr>
          <w:p>
            <w:r>
              <w:rPr>
                <w:sz w:val="16"/>
              </w:rPr>
              <w:t>17</w:t>
            </w:r>
          </w:p>
        </w:tc>
        <w:tc>
          <w:tcPr>
            <w:tcW w:type="dxa" w:w="2353"/>
            <w:vAlign w:val="center"/>
          </w:tcPr>
          <w:p>
            <w:r>
              <w:rPr>
                <w:sz w:val="16"/>
              </w:rPr>
              <w:t>Ethical approval and consent</w:t>
            </w:r>
          </w:p>
        </w:tc>
        <w:tc>
          <w:tcPr>
            <w:tcW w:type="dxa" w:w="2353"/>
            <w:vAlign w:val="center"/>
          </w:tcPr>
          <w:p>
            <w:r>
              <w:rPr>
                <w:sz w:val="16"/>
              </w:rPr>
              <w:t>Declarations</w:t>
            </w:r>
          </w:p>
        </w:tc>
        <w:tc>
          <w:tcPr>
            <w:tcW w:type="dxa" w:w="2353"/>
            <w:vAlign w:val="center"/>
          </w:tcPr>
          <w:p>
            <w:r>
              <w:rPr>
                <w:sz w:val="16"/>
              </w:rPr>
              <w:t>Pending final institutional wording</w:t>
            </w:r>
          </w:p>
        </w:tc>
      </w:tr>
      <w:tr>
        <w:trPr>
          <w:cantSplit/>
        </w:trPr>
        <w:tc>
          <w:tcPr>
            <w:tcW w:type="dxa" w:w="2353"/>
            <w:vAlign w:val="center"/>
          </w:tcPr>
          <w:p>
            <w:r>
              <w:rPr>
                <w:sz w:val="16"/>
              </w:rPr>
              <w:t>18a</w:t>
            </w:r>
          </w:p>
        </w:tc>
        <w:tc>
          <w:tcPr>
            <w:tcW w:type="dxa" w:w="2353"/>
            <w:vAlign w:val="center"/>
          </w:tcPr>
          <w:p>
            <w:r>
              <w:rPr>
                <w:sz w:val="16"/>
              </w:rPr>
              <w:t>Funding</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18b</w:t>
            </w:r>
          </w:p>
        </w:tc>
        <w:tc>
          <w:tcPr>
            <w:tcW w:type="dxa" w:w="2353"/>
            <w:vAlign w:val="center"/>
          </w:tcPr>
          <w:p>
            <w:r>
              <w:rPr>
                <w:sz w:val="16"/>
              </w:rPr>
              <w:t>Conflicts of interest</w:t>
            </w:r>
          </w:p>
        </w:tc>
        <w:tc>
          <w:tcPr>
            <w:tcW w:type="dxa" w:w="2353"/>
            <w:vAlign w:val="center"/>
          </w:tcPr>
          <w:p>
            <w:r>
              <w:rPr>
                <w:sz w:val="16"/>
              </w:rPr>
              <w:t>Declarations</w:t>
            </w:r>
          </w:p>
        </w:tc>
        <w:tc>
          <w:tcPr>
            <w:tcW w:type="dxa" w:w="2353"/>
            <w:vAlign w:val="center"/>
          </w:tcPr>
          <w:p>
            <w:r>
              <w:rPr>
                <w:sz w:val="16"/>
              </w:rPr>
              <w:t>Pending author confirmation</w:t>
            </w:r>
          </w:p>
        </w:tc>
      </w:tr>
      <w:tr>
        <w:trPr>
          <w:cantSplit/>
        </w:trPr>
        <w:tc>
          <w:tcPr>
            <w:tcW w:type="dxa" w:w="2353"/>
            <w:vAlign w:val="center"/>
          </w:tcPr>
          <w:p>
            <w:r>
              <w:rPr>
                <w:sz w:val="16"/>
              </w:rPr>
              <w:t>18c</w:t>
            </w:r>
          </w:p>
        </w:tc>
        <w:tc>
          <w:tcPr>
            <w:tcW w:type="dxa" w:w="2353"/>
            <w:vAlign w:val="center"/>
          </w:tcPr>
          <w:p>
            <w:r>
              <w:rPr>
                <w:sz w:val="16"/>
              </w:rPr>
              <w:t>Protocol</w:t>
            </w:r>
          </w:p>
        </w:tc>
        <w:tc>
          <w:tcPr>
            <w:tcW w:type="dxa" w:w="2353"/>
            <w:vAlign w:val="center"/>
          </w:tcPr>
          <w:p>
            <w:r>
              <w:rPr>
                <w:sz w:val="16"/>
              </w:rPr>
              <w:t>Repository docs/ANALYSIS_PLAN.md</w:t>
            </w:r>
          </w:p>
        </w:tc>
        <w:tc>
          <w:tcPr>
            <w:tcW w:type="dxa" w:w="2353"/>
            <w:vAlign w:val="center"/>
          </w:tcPr>
          <w:p>
            <w:r>
              <w:rPr>
                <w:sz w:val="16"/>
              </w:rPr>
              <w:t>Locked analysis plan reported; not prospectively registered</w:t>
            </w:r>
          </w:p>
        </w:tc>
      </w:tr>
      <w:tr>
        <w:trPr>
          <w:cantSplit/>
        </w:trPr>
        <w:tc>
          <w:tcPr>
            <w:tcW w:type="dxa" w:w="2353"/>
            <w:vAlign w:val="center"/>
          </w:tcPr>
          <w:p>
            <w:r>
              <w:rPr>
                <w:sz w:val="16"/>
              </w:rPr>
              <w:t>18d</w:t>
            </w:r>
          </w:p>
        </w:tc>
        <w:tc>
          <w:tcPr>
            <w:tcW w:type="dxa" w:w="2353"/>
            <w:vAlign w:val="center"/>
          </w:tcPr>
          <w:p>
            <w:r>
              <w:rPr>
                <w:sz w:val="16"/>
              </w:rPr>
              <w:t>Registration</w:t>
            </w:r>
          </w:p>
        </w:tc>
        <w:tc>
          <w:tcPr>
            <w:tcW w:type="dxa" w:w="2353"/>
            <w:vAlign w:val="center"/>
          </w:tcPr>
          <w:p>
            <w:r>
              <w:rPr>
                <w:sz w:val="16"/>
              </w:rPr>
              <w:t>Declarations</w:t>
            </w:r>
          </w:p>
        </w:tc>
        <w:tc>
          <w:tcPr>
            <w:tcW w:type="dxa" w:w="2353"/>
            <w:vAlign w:val="center"/>
          </w:tcPr>
          <w:p>
            <w:r>
              <w:rPr>
                <w:sz w:val="16"/>
              </w:rPr>
              <w:t>Study not registered</w:t>
            </w:r>
          </w:p>
        </w:tc>
      </w:tr>
      <w:tr>
        <w:trPr>
          <w:cantSplit/>
        </w:trPr>
        <w:tc>
          <w:tcPr>
            <w:tcW w:type="dxa" w:w="2353"/>
            <w:vAlign w:val="center"/>
          </w:tcPr>
          <w:p>
            <w:r>
              <w:rPr>
                <w:sz w:val="16"/>
              </w:rPr>
              <w:t>18e</w:t>
            </w:r>
          </w:p>
        </w:tc>
        <w:tc>
          <w:tcPr>
            <w:tcW w:type="dxa" w:w="2353"/>
            <w:vAlign w:val="center"/>
          </w:tcPr>
          <w:p>
            <w:r>
              <w:rPr>
                <w:sz w:val="16"/>
              </w:rPr>
              <w:t>Data sharing</w:t>
            </w:r>
          </w:p>
        </w:tc>
        <w:tc>
          <w:tcPr>
            <w:tcW w:type="dxa" w:w="2353"/>
            <w:vAlign w:val="center"/>
          </w:tcPr>
          <w:p>
            <w:r>
              <w:rPr>
                <w:sz w:val="16"/>
              </w:rPr>
              <w:t>Declarations - Availability; provenance/SOURCES.md</w:t>
            </w:r>
          </w:p>
        </w:tc>
        <w:tc>
          <w:tcPr>
            <w:tcW w:type="dxa" w:w="2353"/>
            <w:vAlign w:val="center"/>
          </w:tcPr>
          <w:p>
            <w:r>
              <w:rPr>
                <w:sz w:val="16"/>
              </w:rPr>
              <w:t>Reported with source conditions</w:t>
            </w:r>
          </w:p>
        </w:tc>
      </w:tr>
      <w:tr>
        <w:trPr>
          <w:cantSplit/>
        </w:trPr>
        <w:tc>
          <w:tcPr>
            <w:tcW w:type="dxa" w:w="2353"/>
            <w:vAlign w:val="center"/>
          </w:tcPr>
          <w:p>
            <w:r>
              <w:rPr>
                <w:sz w:val="16"/>
              </w:rPr>
              <w:t>18f</w:t>
            </w:r>
          </w:p>
        </w:tc>
        <w:tc>
          <w:tcPr>
            <w:tcW w:type="dxa" w:w="2353"/>
            <w:vAlign w:val="center"/>
          </w:tcPr>
          <w:p>
            <w:r>
              <w:rPr>
                <w:sz w:val="16"/>
              </w:rPr>
              <w:t>Code sharing</w:t>
            </w:r>
          </w:p>
        </w:tc>
        <w:tc>
          <w:tcPr>
            <w:tcW w:type="dxa" w:w="2353"/>
            <w:vAlign w:val="center"/>
          </w:tcPr>
          <w:p>
            <w:r>
              <w:rPr>
                <w:sz w:val="16"/>
              </w:rPr>
              <w:t>Methods - Software transparency; public repository</w:t>
            </w:r>
          </w:p>
        </w:tc>
        <w:tc>
          <w:tcPr>
            <w:tcW w:type="dxa" w:w="2353"/>
            <w:vAlign w:val="center"/>
          </w:tcPr>
          <w:p>
            <w:r>
              <w:rPr>
                <w:sz w:val="16"/>
              </w:rPr>
              <w:t>Reported with versions and licence</w:t>
            </w:r>
          </w:p>
        </w:tc>
      </w:tr>
      <w:tr>
        <w:trPr>
          <w:cantSplit/>
        </w:trPr>
        <w:tc>
          <w:tcPr>
            <w:tcW w:type="dxa" w:w="2353"/>
            <w:vAlign w:val="center"/>
          </w:tcPr>
          <w:p>
            <w:r>
              <w:rPr>
                <w:sz w:val="16"/>
              </w:rPr>
              <w:t>19</w:t>
            </w:r>
          </w:p>
        </w:tc>
        <w:tc>
          <w:tcPr>
            <w:tcW w:type="dxa" w:w="2353"/>
            <w:vAlign w:val="center"/>
          </w:tcPr>
          <w:p>
            <w:r>
              <w:rPr>
                <w:sz w:val="16"/>
              </w:rPr>
              <w:t>Patient and public involvement</w:t>
            </w:r>
          </w:p>
        </w:tc>
        <w:tc>
          <w:tcPr>
            <w:tcW w:type="dxa" w:w="2353"/>
            <w:vAlign w:val="center"/>
          </w:tcPr>
          <w:p>
            <w:r>
              <w:rPr>
                <w:sz w:val="16"/>
              </w:rPr>
              <w:t>Declarations</w:t>
            </w:r>
          </w:p>
        </w:tc>
        <w:tc>
          <w:tcPr>
            <w:tcW w:type="dxa" w:w="2353"/>
            <w:vAlign w:val="center"/>
          </w:tcPr>
          <w:p>
            <w:r>
              <w:rPr>
                <w:sz w:val="16"/>
              </w:rPr>
              <w:t>No patient or public involvement</w:t>
            </w:r>
          </w:p>
        </w:tc>
      </w:tr>
      <w:tr>
        <w:trPr>
          <w:cantSplit/>
        </w:trPr>
        <w:tc>
          <w:tcPr>
            <w:tcW w:type="dxa" w:w="2353"/>
            <w:vAlign w:val="center"/>
          </w:tcPr>
          <w:p>
            <w:r>
              <w:rPr>
                <w:sz w:val="16"/>
              </w:rPr>
              <w:t>20a</w:t>
            </w:r>
          </w:p>
        </w:tc>
        <w:tc>
          <w:tcPr>
            <w:tcW w:type="dxa" w:w="2353"/>
            <w:vAlign w:val="center"/>
          </w:tcPr>
          <w:p>
            <w:r>
              <w:rPr>
                <w:sz w:val="16"/>
              </w:rPr>
              <w:t>Participant flow</w:t>
            </w:r>
          </w:p>
        </w:tc>
        <w:tc>
          <w:tcPr>
            <w:tcW w:type="dxa" w:w="2353"/>
            <w:vAlign w:val="center"/>
          </w:tcPr>
          <w:p>
            <w:r>
              <w:rPr>
                <w:sz w:val="16"/>
              </w:rPr>
              <w:t>Figure 1; Results - Cohort and analysis coverage</w:t>
            </w:r>
          </w:p>
        </w:tc>
        <w:tc>
          <w:tcPr>
            <w:tcW w:type="dxa" w:w="2353"/>
            <w:vAlign w:val="center"/>
          </w:tcPr>
          <w:p>
            <w:r>
              <w:rPr>
                <w:sz w:val="16"/>
              </w:rPr>
              <w:t>Reported</w:t>
            </w:r>
          </w:p>
        </w:tc>
      </w:tr>
      <w:tr>
        <w:trPr>
          <w:cantSplit/>
        </w:trPr>
        <w:tc>
          <w:tcPr>
            <w:tcW w:type="dxa" w:w="2353"/>
            <w:vAlign w:val="center"/>
          </w:tcPr>
          <w:p>
            <w:r>
              <w:rPr>
                <w:sz w:val="16"/>
              </w:rPr>
              <w:t>20b</w:t>
            </w:r>
          </w:p>
        </w:tc>
        <w:tc>
          <w:tcPr>
            <w:tcW w:type="dxa" w:w="2353"/>
            <w:vAlign w:val="center"/>
          </w:tcPr>
          <w:p>
            <w:r>
              <w:rPr>
                <w:sz w:val="16"/>
              </w:rPr>
              <w:t>Participant characteristics and missingness</w:t>
            </w:r>
          </w:p>
        </w:tc>
        <w:tc>
          <w:tcPr>
            <w:tcW w:type="dxa" w:w="2353"/>
            <w:vAlign w:val="center"/>
          </w:tcPr>
          <w:p>
            <w:r>
              <w:rPr>
                <w:sz w:val="16"/>
              </w:rPr>
              <w:t>Results - Cohort and analysis coverage; Supplementary Tables S2-S5</w:t>
            </w:r>
          </w:p>
        </w:tc>
        <w:tc>
          <w:tcPr>
            <w:tcW w:type="dxa" w:w="2353"/>
            <w:vAlign w:val="center"/>
          </w:tcPr>
          <w:p>
            <w:r>
              <w:rPr>
                <w:sz w:val="16"/>
              </w:rPr>
              <w:t>Participant age</w:t>
            </w:r>
          </w:p>
        </w:tc>
      </w:tr>
      <w:tr>
        <w:trPr>
          <w:cantSplit/>
        </w:trPr>
        <w:tc>
          <w:tcPr>
            <w:tcW w:type="dxa" w:w="2353"/>
            <w:vAlign w:val="center"/>
          </w:tcPr>
          <w:p>
            <w:r>
              <w:rPr>
                <w:sz w:val="16"/>
              </w:rPr>
              <w:t>20c</w:t>
            </w:r>
          </w:p>
        </w:tc>
        <w:tc>
          <w:tcPr>
            <w:tcW w:type="dxa" w:w="2353"/>
            <w:vAlign w:val="center"/>
          </w:tcPr>
          <w:p>
            <w:r>
              <w:rPr>
                <w:sz w:val="16"/>
              </w:rPr>
              <w:t>Evaluation-versus-development distributions</w:t>
            </w:r>
          </w:p>
        </w:tc>
        <w:tc>
          <w:tcPr>
            <w:tcW w:type="dxa" w:w="2353"/>
            <w:vAlign w:val="center"/>
          </w:tcPr>
          <w:p>
            <w:r>
              <w:rPr>
                <w:sz w:val="16"/>
              </w:rPr>
              <w:t>Discussion - Limitations</w:t>
            </w:r>
          </w:p>
        </w:tc>
        <w:tc>
          <w:tcPr>
            <w:tcW w:type="dxa" w:w="2353"/>
            <w:vAlign w:val="center"/>
          </w:tcPr>
          <w:p>
            <w:r>
              <w:rPr>
                <w:sz w:val="16"/>
              </w:rPr>
              <w:t>Not applicable; no independent evaluation cohort</w:t>
            </w:r>
          </w:p>
        </w:tc>
      </w:tr>
      <w:tr>
        <w:trPr>
          <w:cantSplit/>
        </w:trPr>
        <w:tc>
          <w:tcPr>
            <w:tcW w:type="dxa" w:w="2353"/>
            <w:vAlign w:val="center"/>
          </w:tcPr>
          <w:p>
            <w:r>
              <w:rPr>
                <w:sz w:val="16"/>
              </w:rPr>
              <w:t>21</w:t>
            </w:r>
          </w:p>
        </w:tc>
        <w:tc>
          <w:tcPr>
            <w:tcW w:type="dxa" w:w="2353"/>
            <w:vAlign w:val="center"/>
          </w:tcPr>
          <w:p>
            <w:r>
              <w:rPr>
                <w:sz w:val="16"/>
              </w:rPr>
              <w:t>Participants and events per analysis</w:t>
            </w:r>
          </w:p>
        </w:tc>
        <w:tc>
          <w:tcPr>
            <w:tcW w:type="dxa" w:w="2353"/>
            <w:vAlign w:val="center"/>
          </w:tcPr>
          <w:p>
            <w:r>
              <w:rPr>
                <w:sz w:val="16"/>
              </w:rPr>
              <w:t>Primary screen tables; Supplementary Tables S5-S9</w:t>
            </w:r>
          </w:p>
        </w:tc>
        <w:tc>
          <w:tcPr>
            <w:tcW w:type="dxa" w:w="2353"/>
            <w:vAlign w:val="center"/>
          </w:tcPr>
          <w:p>
            <w:r>
              <w:rPr>
                <w:sz w:val="16"/>
              </w:rPr>
              <w:t>Reported</w:t>
            </w:r>
          </w:p>
        </w:tc>
      </w:tr>
      <w:tr>
        <w:trPr>
          <w:cantSplit/>
        </w:trPr>
        <w:tc>
          <w:tcPr>
            <w:tcW w:type="dxa" w:w="2353"/>
            <w:vAlign w:val="center"/>
          </w:tcPr>
          <w:p>
            <w:r>
              <w:rPr>
                <w:sz w:val="16"/>
              </w:rPr>
              <w:t>22</w:t>
            </w:r>
          </w:p>
        </w:tc>
        <w:tc>
          <w:tcPr>
            <w:tcW w:type="dxa" w:w="2353"/>
            <w:vAlign w:val="center"/>
          </w:tcPr>
          <w:p>
            <w:r>
              <w:rPr>
                <w:sz w:val="16"/>
              </w:rPr>
              <w:t>Full model specification and access restrictions</w:t>
            </w:r>
          </w:p>
        </w:tc>
        <w:tc>
          <w:tcPr>
            <w:tcW w:type="dxa" w:w="2353"/>
            <w:vAlign w:val="center"/>
          </w:tcPr>
          <w:p>
            <w:r>
              <w:rPr>
                <w:sz w:val="16"/>
              </w:rPr>
              <w:t>Model registry; models/README.md; inference example</w:t>
            </w:r>
          </w:p>
        </w:tc>
        <w:tc>
          <w:tcPr>
            <w:tcW w:type="dxa" w:w="2353"/>
            <w:vAlign w:val="center"/>
          </w:tcPr>
          <w:p>
            <w:r>
              <w:rPr>
                <w:sz w:val="16"/>
              </w:rPr>
              <w:t>Reported subject to TITAN redistribution terms</w:t>
            </w:r>
          </w:p>
        </w:tc>
      </w:tr>
      <w:tr>
        <w:trPr>
          <w:cantSplit/>
        </w:trPr>
        <w:tc>
          <w:tcPr>
            <w:tcW w:type="dxa" w:w="2353"/>
            <w:vAlign w:val="center"/>
          </w:tcPr>
          <w:p>
            <w:r>
              <w:rPr>
                <w:sz w:val="16"/>
              </w:rPr>
              <w:t>23a</w:t>
            </w:r>
          </w:p>
        </w:tc>
        <w:tc>
          <w:tcPr>
            <w:tcW w:type="dxa" w:w="2353"/>
            <w:vAlign w:val="center"/>
          </w:tcPr>
          <w:p>
            <w:r>
              <w:rPr>
                <w:sz w:val="16"/>
              </w:rPr>
              <w:t>Performance with confidence intervals and plots</w:t>
            </w:r>
          </w:p>
        </w:tc>
        <w:tc>
          <w:tcPr>
            <w:tcW w:type="dxa" w:w="2353"/>
            <w:vAlign w:val="center"/>
          </w:tcPr>
          <w:p>
            <w:r>
              <w:rPr>
                <w:sz w:val="16"/>
              </w:rPr>
              <w:t>Table 2; Figure 4; Supplementary Table S5</w:t>
            </w:r>
          </w:p>
        </w:tc>
        <w:tc>
          <w:tcPr>
            <w:tcW w:type="dxa" w:w="2353"/>
            <w:vAlign w:val="center"/>
          </w:tcPr>
          <w:p>
            <w:r>
              <w:rPr>
                <w:sz w:val="16"/>
              </w:rPr>
              <w:t>Reported for highlighted models</w:t>
            </w:r>
          </w:p>
        </w:tc>
      </w:tr>
      <w:tr>
        <w:trPr>
          <w:cantSplit/>
        </w:trPr>
        <w:tc>
          <w:tcPr>
            <w:tcW w:type="dxa" w:w="2353"/>
            <w:vAlign w:val="center"/>
          </w:tcPr>
          <w:p>
            <w:r>
              <w:rPr>
                <w:sz w:val="16"/>
              </w:rPr>
              <w:t>23b</w:t>
            </w:r>
          </w:p>
        </w:tc>
        <w:tc>
          <w:tcPr>
            <w:tcW w:type="dxa" w:w="2353"/>
            <w:vAlign w:val="center"/>
          </w:tcPr>
          <w:p>
            <w:r>
              <w:rPr>
                <w:sz w:val="16"/>
              </w:rPr>
              <w:t>Heterogeneity across clusters</w:t>
            </w:r>
          </w:p>
        </w:tc>
        <w:tc>
          <w:tcPr>
            <w:tcW w:type="dxa" w:w="2353"/>
            <w:vAlign w:val="center"/>
          </w:tcPr>
          <w:p>
            <w:r>
              <w:rPr>
                <w:sz w:val="16"/>
              </w:rPr>
              <w:t>Figure 6; site-grouped sensitivity tables</w:t>
            </w:r>
          </w:p>
        </w:tc>
        <w:tc>
          <w:tcPr>
            <w:tcW w:type="dxa" w:w="2353"/>
            <w:vAlign w:val="center"/>
          </w:tcPr>
          <w:p>
            <w:r>
              <w:rPr>
                <w:sz w:val="16"/>
              </w:rPr>
              <w:t>Reported</w:t>
            </w:r>
          </w:p>
        </w:tc>
      </w:tr>
      <w:tr>
        <w:trPr>
          <w:cantSplit/>
        </w:trPr>
        <w:tc>
          <w:tcPr>
            <w:tcW w:type="dxa" w:w="2353"/>
            <w:vAlign w:val="center"/>
          </w:tcPr>
          <w:p>
            <w:r>
              <w:rPr>
                <w:sz w:val="16"/>
              </w:rPr>
              <w:t>24</w:t>
            </w:r>
          </w:p>
        </w:tc>
        <w:tc>
          <w:tcPr>
            <w:tcW w:type="dxa" w:w="2353"/>
            <w:vAlign w:val="center"/>
          </w:tcPr>
          <w:p>
            <w:r>
              <w:rPr>
                <w:sz w:val="16"/>
              </w:rPr>
              <w:t>Model updating results</w:t>
            </w:r>
          </w:p>
        </w:tc>
        <w:tc>
          <w:tcPr>
            <w:tcW w:type="dxa" w:w="2353"/>
            <w:vAlign w:val="center"/>
          </w:tcPr>
          <w:p>
            <w:r>
              <w:rPr>
                <w:sz w:val="16"/>
              </w:rPr>
              <w:t>Discussion - Limitations</w:t>
            </w:r>
          </w:p>
        </w:tc>
        <w:tc>
          <w:tcPr>
            <w:tcW w:type="dxa" w:w="2353"/>
            <w:vAlign w:val="center"/>
          </w:tcPr>
          <w:p>
            <w:r>
              <w:rPr>
                <w:sz w:val="16"/>
              </w:rPr>
              <w:t>Not applicable; no model updating</w:t>
            </w:r>
          </w:p>
        </w:tc>
      </w:tr>
      <w:tr>
        <w:trPr>
          <w:cantSplit/>
        </w:trPr>
        <w:tc>
          <w:tcPr>
            <w:tcW w:type="dxa" w:w="2353"/>
            <w:vAlign w:val="center"/>
          </w:tcPr>
          <w:p>
            <w:r>
              <w:rPr>
                <w:sz w:val="16"/>
              </w:rPr>
              <w:t>25</w:t>
            </w:r>
          </w:p>
        </w:tc>
        <w:tc>
          <w:tcPr>
            <w:tcW w:type="dxa" w:w="2353"/>
            <w:vAlign w:val="center"/>
          </w:tcPr>
          <w:p>
            <w:r>
              <w:rPr>
                <w:sz w:val="16"/>
              </w:rPr>
              <w:t>Interpretation and fairness</w:t>
            </w:r>
          </w:p>
        </w:tc>
        <w:tc>
          <w:tcPr>
            <w:tcW w:type="dxa" w:w="2353"/>
            <w:vAlign w:val="center"/>
          </w:tcPr>
          <w:p>
            <w:r>
              <w:rPr>
                <w:sz w:val="16"/>
              </w:rPr>
              <w:t>Discussion</w:t>
            </w:r>
          </w:p>
        </w:tc>
        <w:tc>
          <w:tcPr>
            <w:tcW w:type="dxa" w:w="2353"/>
            <w:vAlign w:val="center"/>
          </w:tcPr>
          <w:p>
            <w:r>
              <w:rPr>
                <w:sz w:val="16"/>
              </w:rPr>
              <w:t>Reported</w:t>
            </w:r>
          </w:p>
        </w:tc>
      </w:tr>
      <w:tr>
        <w:trPr>
          <w:cantSplit/>
        </w:trPr>
        <w:tc>
          <w:tcPr>
            <w:tcW w:type="dxa" w:w="2353"/>
            <w:vAlign w:val="center"/>
          </w:tcPr>
          <w:p>
            <w:r>
              <w:rPr>
                <w:sz w:val="16"/>
              </w:rPr>
              <w:t>26</w:t>
            </w:r>
          </w:p>
        </w:tc>
        <w:tc>
          <w:tcPr>
            <w:tcW w:type="dxa" w:w="2353"/>
            <w:vAlign w:val="center"/>
          </w:tcPr>
          <w:p>
            <w:r>
              <w:rPr>
                <w:sz w:val="16"/>
              </w:rPr>
              <w:t>Limitations bias uncertainty and generalisability</w:t>
            </w:r>
          </w:p>
        </w:tc>
        <w:tc>
          <w:tcPr>
            <w:tcW w:type="dxa" w:w="2353"/>
            <w:vAlign w:val="center"/>
          </w:tcPr>
          <w:p>
            <w:r>
              <w:rPr>
                <w:sz w:val="16"/>
              </w:rPr>
              <w:t>Discussion - Limitations</w:t>
            </w:r>
          </w:p>
        </w:tc>
        <w:tc>
          <w:tcPr>
            <w:tcW w:type="dxa" w:w="2353"/>
            <w:vAlign w:val="center"/>
          </w:tcPr>
          <w:p>
            <w:r>
              <w:rPr>
                <w:sz w:val="16"/>
              </w:rPr>
              <w:t>Reported</w:t>
            </w:r>
          </w:p>
        </w:tc>
      </w:tr>
      <w:tr>
        <w:trPr>
          <w:cantSplit/>
        </w:trPr>
        <w:tc>
          <w:tcPr>
            <w:tcW w:type="dxa" w:w="2353"/>
            <w:vAlign w:val="center"/>
          </w:tcPr>
          <w:p>
            <w:r>
              <w:rPr>
                <w:sz w:val="16"/>
              </w:rPr>
              <w:t>27a</w:t>
            </w:r>
          </w:p>
        </w:tc>
        <w:tc>
          <w:tcPr>
            <w:tcW w:type="dxa" w:w="2353"/>
            <w:vAlign w:val="center"/>
          </w:tcPr>
          <w:p>
            <w:r>
              <w:rPr>
                <w:sz w:val="16"/>
              </w:rPr>
              <w:t>Poor quality or unavailable input data</w:t>
            </w:r>
          </w:p>
        </w:tc>
        <w:tc>
          <w:tcPr>
            <w:tcW w:type="dxa" w:w="2353"/>
            <w:vAlign w:val="center"/>
          </w:tcPr>
          <w:p>
            <w:r>
              <w:rPr>
                <w:sz w:val="16"/>
              </w:rPr>
              <w:t>Inference example; models/README.md</w:t>
            </w:r>
          </w:p>
        </w:tc>
        <w:tc>
          <w:tcPr>
            <w:tcW w:type="dxa" w:w="2353"/>
            <w:vAlign w:val="center"/>
          </w:tcPr>
          <w:p>
            <w:r>
              <w:rPr>
                <w:sz w:val="16"/>
              </w:rPr>
              <w:t>Feature validation training ranges and out-of-distribution warning reported</w:t>
            </w:r>
          </w:p>
        </w:tc>
      </w:tr>
      <w:tr>
        <w:trPr>
          <w:cantSplit/>
        </w:trPr>
        <w:tc>
          <w:tcPr>
            <w:tcW w:type="dxa" w:w="2353"/>
            <w:vAlign w:val="center"/>
          </w:tcPr>
          <w:p>
            <w:r>
              <w:rPr>
                <w:sz w:val="16"/>
              </w:rPr>
              <w:t>27b</w:t>
            </w:r>
          </w:p>
        </w:tc>
        <w:tc>
          <w:tcPr>
            <w:tcW w:type="dxa" w:w="2353"/>
            <w:vAlign w:val="center"/>
          </w:tcPr>
          <w:p>
            <w:r>
              <w:rPr>
                <w:sz w:val="16"/>
              </w:rPr>
              <w:t>User interaction and expertise</w:t>
            </w:r>
          </w:p>
        </w:tc>
        <w:tc>
          <w:tcPr>
            <w:tcW w:type="dxa" w:w="2353"/>
            <w:vAlign w:val="center"/>
          </w:tcPr>
          <w:p>
            <w:r>
              <w:rPr>
                <w:sz w:val="16"/>
              </w:rPr>
              <w:t>README and inference example</w:t>
            </w:r>
          </w:p>
        </w:tc>
        <w:tc>
          <w:tcPr>
            <w:tcW w:type="dxa" w:w="2353"/>
            <w:vAlign w:val="center"/>
          </w:tcPr>
          <w:p>
            <w:r>
              <w:rPr>
                <w:sz w:val="16"/>
              </w:rPr>
              <w:t>Reported for research users</w:t>
            </w:r>
          </w:p>
        </w:tc>
      </w:tr>
      <w:tr>
        <w:trPr>
          <w:cantSplit/>
        </w:trPr>
        <w:tc>
          <w:tcPr>
            <w:tcW w:type="dxa" w:w="2353"/>
            <w:vAlign w:val="center"/>
          </w:tcPr>
          <w:p>
            <w:r>
              <w:rPr>
                <w:sz w:val="16"/>
              </w:rPr>
              <w:t>27c</w:t>
            </w:r>
          </w:p>
        </w:tc>
        <w:tc>
          <w:tcPr>
            <w:tcW w:type="dxa" w:w="2353"/>
            <w:vAlign w:val="center"/>
          </w:tcPr>
          <w:p>
            <w:r>
              <w:rPr>
                <w:sz w:val="16"/>
              </w:rPr>
              <w:t>Next research steps</w:t>
            </w:r>
          </w:p>
        </w:tc>
        <w:tc>
          <w:tcPr>
            <w:tcW w:type="dxa" w:w="2353"/>
            <w:vAlign w:val="center"/>
          </w:tcPr>
          <w:p>
            <w:r>
              <w:rPr>
                <w:sz w:val="16"/>
              </w:rPr>
              <w:t>Discussion - Limitations and Conclusions</w:t>
            </w:r>
          </w:p>
        </w:tc>
        <w:tc>
          <w:tcPr>
            <w:tcW w:type="dxa" w:w="2353"/>
            <w:vAlign w:val="center"/>
          </w:tcPr>
          <w:p>
            <w:r>
              <w:rPr>
                <w:sz w:val="16"/>
              </w:rPr>
              <w:t>Independent external evaluation specified</w:t>
            </w:r>
          </w:p>
        </w:tc>
      </w:tr>
    </w:tbl>
    <w:p/>
    <w:p>
      <w:pPr>
        <w:sectPr>
          <w:pgSz w:w="11906" w:h="16838"/>
          <w:pgMar w:top="1134" w:right="1247" w:bottom="1134" w:left="1247" w:header="720" w:footer="720" w:gutter="0"/>
          <w:cols w:space="720"/>
          <w:docGrid w:linePitch="360"/>
          <w:lnNumType w:countBy="1" w:restart="continuous"/>
          <w:lnNumType w:countBy="1" w:restart="continuous"/>
          <w:lnNumType w:countBy="1" w:restart="continuous"/>
        </w:sectPr>
      </w:pPr>
    </w:p>
    <w:p>
      <w:pPr>
        <w:pStyle w:val="Heading1"/>
      </w:pPr>
      <w:r>
        <w:t>Table S13. Endpoint provenance, derivation and assay equivalence</w:t>
      </w:r>
    </w:p>
    <w:p>
      <w:pPr>
        <w:pStyle w:val="Caption"/>
      </w:pPr>
      <w:r>
        <w:t>Panel A. High-level label-generation classes. 'Definitions' counts unique outcome type–family–endpoint combinations; tests are cancer-specific. The full 2,073-row target-level dictionary is the authoritative table and reports all requested fields for every target.</w:t>
      </w:r>
    </w:p>
    <w:tbl>
      <w:tblPr>
        <w:tblStyle w:val="TableGrid"/>
        <w:tblW w:type="auto" w:w="0"/>
        <w:jc w:val="center"/>
        <w:tblLook w:firstColumn="1" w:firstRow="1" w:lastColumn="0" w:lastRow="0" w:noHBand="0" w:noVBand="1" w:val="04A0"/>
      </w:tblPr>
      <w:tblGrid>
        <w:gridCol w:w="3784"/>
        <w:gridCol w:w="3784"/>
        <w:gridCol w:w="3784"/>
        <w:gridCol w:w="3784"/>
      </w:tblGrid>
      <w:tr>
        <w:trPr>
          <w:tblHeader w:val="true"/>
          <w:cantSplit/>
        </w:trPr>
        <w:tc>
          <w:tcPr>
            <w:tcW w:type="dxa" w:w="4535"/>
          </w:tcPr>
          <w:p>
            <w:r>
              <w:rPr>
                <w:b/>
                <w:sz w:val="17"/>
              </w:rPr>
              <w:t>Measurement class</w:t>
            </w:r>
          </w:p>
        </w:tc>
        <w:tc>
          <w:tcPr>
            <w:tcW w:type="dxa" w:w="2268"/>
          </w:tcPr>
          <w:p>
            <w:r>
              <w:rPr>
                <w:b/>
                <w:sz w:val="17"/>
              </w:rPr>
              <w:t>Cancer–endpoint tests</w:t>
            </w:r>
          </w:p>
        </w:tc>
        <w:tc>
          <w:tcPr>
            <w:tcW w:type="dxa" w:w="2268"/>
          </w:tcPr>
          <w:p>
            <w:r>
              <w:rPr>
                <w:b/>
                <w:sz w:val="17"/>
              </w:rPr>
              <w:t>Unique definitions</w:t>
            </w:r>
          </w:p>
        </w:tc>
        <w:tc>
          <w:tcPr>
            <w:tcW w:type="dxa" w:w="2551"/>
          </w:tcPr>
          <w:p>
            <w:r>
              <w:rPr>
                <w:b/>
                <w:sz w:val="17"/>
              </w:rPr>
              <w:t>Same-H&amp;E-modality tests</w:t>
            </w:r>
          </w:p>
        </w:tc>
      </w:tr>
      <w:tr>
        <w:trPr>
          <w:cantSplit/>
        </w:trPr>
        <w:tc>
          <w:tcPr>
            <w:tcW w:type="dxa" w:w="4535"/>
            <w:vAlign w:val="center"/>
          </w:tcPr>
          <w:p>
            <w:r>
              <w:rPr>
                <w:sz w:val="16"/>
              </w:rPr>
              <w:t>directly observed genomic alteration</w:t>
            </w:r>
          </w:p>
        </w:tc>
        <w:tc>
          <w:tcPr>
            <w:tcW w:type="dxa" w:w="2268"/>
            <w:vAlign w:val="center"/>
          </w:tcPr>
          <w:p>
            <w:r>
              <w:rPr>
                <w:sz w:val="16"/>
              </w:rPr>
              <w:t>265</w:t>
            </w:r>
          </w:p>
        </w:tc>
        <w:tc>
          <w:tcPr>
            <w:tcW w:type="dxa" w:w="2268"/>
            <w:vAlign w:val="center"/>
          </w:tcPr>
          <w:p>
            <w:r>
              <w:rPr>
                <w:sz w:val="16"/>
              </w:rPr>
              <w:t>125</w:t>
            </w:r>
          </w:p>
        </w:tc>
        <w:tc>
          <w:tcPr>
            <w:tcW w:type="dxa" w:w="2551"/>
            <w:vAlign w:val="center"/>
          </w:tcPr>
          <w:p>
            <w:r>
              <w:rPr>
                <w:sz w:val="16"/>
              </w:rPr>
              <w:t>0</w:t>
            </w:r>
          </w:p>
        </w:tc>
      </w:tr>
      <w:tr>
        <w:trPr>
          <w:cantSplit/>
        </w:trPr>
        <w:tc>
          <w:tcPr>
            <w:tcW w:type="dxa" w:w="4535"/>
            <w:vAlign w:val="center"/>
          </w:tcPr>
          <w:p>
            <w:r>
              <w:rPr>
                <w:sz w:val="16"/>
              </w:rPr>
              <w:t>sequencing-derived continuous burden</w:t>
            </w:r>
          </w:p>
        </w:tc>
        <w:tc>
          <w:tcPr>
            <w:tcW w:type="dxa" w:w="2268"/>
            <w:vAlign w:val="center"/>
          </w:tcPr>
          <w:p>
            <w:r>
              <w:rPr>
                <w:sz w:val="16"/>
              </w:rPr>
              <w:t>439</w:t>
            </w:r>
          </w:p>
        </w:tc>
        <w:tc>
          <w:tcPr>
            <w:tcW w:type="dxa" w:w="2268"/>
            <w:vAlign w:val="center"/>
          </w:tcPr>
          <w:p>
            <w:r>
              <w:rPr>
                <w:sz w:val="16"/>
              </w:rPr>
              <w:t>16</w:t>
            </w:r>
          </w:p>
        </w:tc>
        <w:tc>
          <w:tcPr>
            <w:tcW w:type="dxa" w:w="2551"/>
            <w:vAlign w:val="center"/>
          </w:tcPr>
          <w:p>
            <w:r>
              <w:rPr>
                <w:sz w:val="16"/>
              </w:rPr>
              <w:t>0</w:t>
            </w:r>
          </w:p>
        </w:tc>
      </w:tr>
      <w:tr>
        <w:trPr>
          <w:cantSplit/>
        </w:trPr>
        <w:tc>
          <w:tcPr>
            <w:tcW w:type="dxa" w:w="4535"/>
            <w:vAlign w:val="center"/>
          </w:tcPr>
          <w:p>
            <w:r>
              <w:rPr>
                <w:sz w:val="16"/>
              </w:rPr>
              <w:t>computationally inferred immune-cell fraction</w:t>
            </w:r>
          </w:p>
        </w:tc>
        <w:tc>
          <w:tcPr>
            <w:tcW w:type="dxa" w:w="2268"/>
            <w:vAlign w:val="center"/>
          </w:tcPr>
          <w:p>
            <w:r>
              <w:rPr>
                <w:sz w:val="16"/>
              </w:rPr>
              <w:t>685</w:t>
            </w:r>
          </w:p>
        </w:tc>
        <w:tc>
          <w:tcPr>
            <w:tcW w:type="dxa" w:w="2268"/>
            <w:vAlign w:val="center"/>
          </w:tcPr>
          <w:p>
            <w:r>
              <w:rPr>
                <w:sz w:val="16"/>
              </w:rPr>
              <w:t>23</w:t>
            </w:r>
          </w:p>
        </w:tc>
        <w:tc>
          <w:tcPr>
            <w:tcW w:type="dxa" w:w="2551"/>
            <w:vAlign w:val="center"/>
          </w:tcPr>
          <w:p>
            <w:r>
              <w:rPr>
                <w:sz w:val="16"/>
              </w:rPr>
              <w:t>0</w:t>
            </w:r>
          </w:p>
        </w:tc>
      </w:tr>
      <w:tr>
        <w:trPr>
          <w:cantSplit/>
        </w:trPr>
        <w:tc>
          <w:tcPr>
            <w:tcW w:type="dxa" w:w="4535"/>
            <w:vAlign w:val="center"/>
          </w:tcPr>
          <w:p>
            <w:r>
              <w:rPr>
                <w:sz w:val="16"/>
              </w:rPr>
              <w:t>transcriptomic signature</w:t>
            </w:r>
          </w:p>
        </w:tc>
        <w:tc>
          <w:tcPr>
            <w:tcW w:type="dxa" w:w="2268"/>
            <w:vAlign w:val="center"/>
          </w:tcPr>
          <w:p>
            <w:r>
              <w:rPr>
                <w:sz w:val="16"/>
              </w:rPr>
              <w:t>299</w:t>
            </w:r>
          </w:p>
        </w:tc>
        <w:tc>
          <w:tcPr>
            <w:tcW w:type="dxa" w:w="2268"/>
            <w:vAlign w:val="center"/>
          </w:tcPr>
          <w:p>
            <w:r>
              <w:rPr>
                <w:sz w:val="16"/>
              </w:rPr>
              <w:t>10</w:t>
            </w:r>
          </w:p>
        </w:tc>
        <w:tc>
          <w:tcPr>
            <w:tcW w:type="dxa" w:w="2551"/>
            <w:vAlign w:val="center"/>
          </w:tcPr>
          <w:p>
            <w:r>
              <w:rPr>
                <w:sz w:val="16"/>
              </w:rPr>
              <w:t>0</w:t>
            </w:r>
          </w:p>
        </w:tc>
      </w:tr>
      <w:tr>
        <w:trPr>
          <w:cantSplit/>
        </w:trPr>
        <w:tc>
          <w:tcPr>
            <w:tcW w:type="dxa" w:w="4535"/>
            <w:vAlign w:val="center"/>
          </w:tcPr>
          <w:p>
            <w:r>
              <w:rPr>
                <w:sz w:val="16"/>
              </w:rPr>
              <w:t>pathology-associated quantity</w:t>
            </w:r>
          </w:p>
        </w:tc>
        <w:tc>
          <w:tcPr>
            <w:tcW w:type="dxa" w:w="2268"/>
            <w:vAlign w:val="center"/>
          </w:tcPr>
          <w:p>
            <w:r>
              <w:rPr>
                <w:sz w:val="16"/>
              </w:rPr>
              <w:t>13</w:t>
            </w:r>
          </w:p>
        </w:tc>
        <w:tc>
          <w:tcPr>
            <w:tcW w:type="dxa" w:w="2268"/>
            <w:vAlign w:val="center"/>
          </w:tcPr>
          <w:p>
            <w:r>
              <w:rPr>
                <w:sz w:val="16"/>
              </w:rPr>
              <w:t>1</w:t>
            </w:r>
          </w:p>
        </w:tc>
        <w:tc>
          <w:tcPr>
            <w:tcW w:type="dxa" w:w="2551"/>
            <w:vAlign w:val="center"/>
          </w:tcPr>
          <w:p>
            <w:r>
              <w:rPr>
                <w:sz w:val="16"/>
              </w:rPr>
              <w:t>13</w:t>
            </w:r>
          </w:p>
        </w:tc>
      </w:tr>
      <w:tr>
        <w:trPr>
          <w:cantSplit/>
        </w:trPr>
        <w:tc>
          <w:tcPr>
            <w:tcW w:type="dxa" w:w="4535"/>
            <w:vAlign w:val="center"/>
          </w:tcPr>
          <w:p>
            <w:r>
              <w:rPr>
                <w:sz w:val="16"/>
              </w:rPr>
              <w:t>composite genomic-context score</w:t>
            </w:r>
          </w:p>
        </w:tc>
        <w:tc>
          <w:tcPr>
            <w:tcW w:type="dxa" w:w="2268"/>
            <w:vAlign w:val="center"/>
          </w:tcPr>
          <w:p>
            <w:r>
              <w:rPr>
                <w:sz w:val="16"/>
              </w:rPr>
              <w:t>372</w:t>
            </w:r>
          </w:p>
        </w:tc>
        <w:tc>
          <w:tcPr>
            <w:tcW w:type="dxa" w:w="2268"/>
            <w:vAlign w:val="center"/>
          </w:tcPr>
          <w:p>
            <w:r>
              <w:rPr>
                <w:sz w:val="16"/>
              </w:rPr>
              <w:t>19</w:t>
            </w:r>
          </w:p>
        </w:tc>
        <w:tc>
          <w:tcPr>
            <w:tcW w:type="dxa" w:w="2551"/>
            <w:vAlign w:val="center"/>
          </w:tcPr>
          <w:p>
            <w:r>
              <w:rPr>
                <w:sz w:val="16"/>
              </w:rPr>
              <w:t>0</w:t>
            </w:r>
          </w:p>
        </w:tc>
      </w:tr>
    </w:tbl>
    <w:p/>
    <w:p>
      <w:pPr>
        <w:pStyle w:val="Caption"/>
      </w:pPr>
      <w:r>
        <w:t>Panel B. Compact derivation-group view. Expected measurement error, biological interpretation, transformation, missingness and source reference remain target-specific in endpoint_dictionary.csv and endpoint_definition_dictionary.csv.</w:t>
      </w:r>
    </w:p>
    <w:tbl>
      <w:tblPr>
        <w:tblStyle w:val="TableGrid"/>
        <w:tblW w:type="auto" w:w="0"/>
        <w:jc w:val="center"/>
        <w:tblLook w:firstColumn="1" w:firstRow="1" w:lastColumn="0" w:lastRow="0" w:noHBand="0" w:noVBand="1" w:val="04A0"/>
      </w:tblPr>
      <w:tblGrid>
        <w:gridCol w:w="2163"/>
        <w:gridCol w:w="2163"/>
        <w:gridCol w:w="2163"/>
        <w:gridCol w:w="2163"/>
        <w:gridCol w:w="2163"/>
        <w:gridCol w:w="2163"/>
        <w:gridCol w:w="2163"/>
      </w:tblGrid>
      <w:tr>
        <w:trPr>
          <w:tblHeader w:val="true"/>
          <w:cantSplit/>
        </w:trPr>
        <w:tc>
          <w:tcPr>
            <w:tcW w:type="dxa" w:w="2268"/>
          </w:tcPr>
          <w:p>
            <w:r>
              <w:rPr>
                <w:b/>
                <w:sz w:val="17"/>
              </w:rPr>
              <w:t>Definition group</w:t>
            </w:r>
          </w:p>
        </w:tc>
        <w:tc>
          <w:tcPr>
            <w:tcW w:type="dxa" w:w="2381"/>
          </w:tcPr>
          <w:p>
            <w:r>
              <w:rPr>
                <w:b/>
                <w:sz w:val="17"/>
              </w:rPr>
              <w:t>Measurement class</w:t>
            </w:r>
          </w:p>
        </w:tc>
        <w:tc>
          <w:tcPr>
            <w:tcW w:type="dxa" w:w="1247"/>
          </w:tcPr>
          <w:p>
            <w:r>
              <w:rPr>
                <w:b/>
                <w:sz w:val="17"/>
              </w:rPr>
              <w:t>Tests/definitions</w:t>
            </w:r>
          </w:p>
        </w:tc>
        <w:tc>
          <w:tcPr>
            <w:tcW w:type="dxa" w:w="2835"/>
          </w:tcPr>
          <w:p>
            <w:r>
              <w:rPr>
                <w:b/>
                <w:sz w:val="17"/>
              </w:rPr>
              <w:t>Source modality</w:t>
            </w:r>
          </w:p>
        </w:tc>
        <w:tc>
          <w:tcPr>
            <w:tcW w:type="dxa" w:w="2608"/>
          </w:tcPr>
          <w:p>
            <w:r>
              <w:rPr>
                <w:b/>
                <w:sz w:val="17"/>
              </w:rPr>
              <w:t>Direct/inferred</w:t>
            </w:r>
          </w:p>
        </w:tc>
        <w:tc>
          <w:tcPr>
            <w:tcW w:type="dxa" w:w="4649"/>
          </w:tcPr>
          <w:p>
            <w:r>
              <w:rPr>
                <w:b/>
                <w:sz w:val="17"/>
              </w:rPr>
              <w:t>Derivation and source scale</w:t>
            </w:r>
          </w:p>
        </w:tc>
        <w:tc>
          <w:tcPr>
            <w:tcW w:type="dxa" w:w="3402"/>
          </w:tcPr>
          <w:p>
            <w:r>
              <w:rPr>
                <w:b/>
                <w:sz w:val="17"/>
              </w:rPr>
              <w:t>Assay-equivalence caveat</w:t>
            </w:r>
          </w:p>
        </w:tc>
      </w:tr>
      <w:tr>
        <w:trPr>
          <w:cantSplit/>
        </w:trPr>
        <w:tc>
          <w:tcPr>
            <w:tcW w:type="dxa" w:w="2268"/>
            <w:vAlign w:val="center"/>
          </w:tcPr>
          <w:p>
            <w:r>
              <w:rPr>
                <w:sz w:val="16"/>
              </w:rPr>
              <w:t>Any fusion call</w:t>
            </w:r>
          </w:p>
        </w:tc>
        <w:tc>
          <w:tcPr>
            <w:tcW w:type="dxa" w:w="2381"/>
            <w:vAlign w:val="center"/>
          </w:tcPr>
          <w:p>
            <w:r>
              <w:rPr>
                <w:sz w:val="16"/>
              </w:rPr>
              <w:t>directly observed genomic alteration</w:t>
            </w:r>
          </w:p>
        </w:tc>
        <w:tc>
          <w:tcPr>
            <w:tcW w:type="dxa" w:w="1247"/>
            <w:vAlign w:val="center"/>
          </w:tcPr>
          <w:p>
            <w:r>
              <w:rPr>
                <w:sz w:val="16"/>
              </w:rPr>
              <w:t>25/1</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Arm-level aneuploidy burden</w:t>
            </w:r>
          </w:p>
        </w:tc>
        <w:tc>
          <w:tcPr>
            <w:tcW w:type="dxa" w:w="2381"/>
            <w:vAlign w:val="center"/>
          </w:tcPr>
          <w:p>
            <w:r>
              <w:rPr>
                <w:sz w:val="16"/>
              </w:rPr>
              <w:t>sequencing-derived continuous burden</w:t>
            </w:r>
          </w:p>
        </w:tc>
        <w:tc>
          <w:tcPr>
            <w:tcW w:type="dxa" w:w="1247"/>
            <w:vAlign w:val="center"/>
          </w:tcPr>
          <w:p>
            <w:r>
              <w:rPr>
                <w:sz w:val="16"/>
              </w:rPr>
              <w:t>90/3</w:t>
            </w:r>
          </w:p>
        </w:tc>
        <w:tc>
          <w:tcPr>
            <w:tcW w:type="dxa" w:w="2835"/>
            <w:vAlign w:val="center"/>
          </w:tcPr>
          <w:p>
            <w:r>
              <w:rPr>
                <w:sz w:val="16"/>
              </w:rPr>
              <w:t>Allele-specific copy-number profiles</w:t>
            </w:r>
          </w:p>
        </w:tc>
        <w:tc>
          <w:tcPr>
            <w:tcW w:type="dxa" w:w="2608"/>
            <w:vAlign w:val="center"/>
          </w:tcPr>
          <w:p>
            <w:r>
              <w:rPr>
                <w:sz w:val="16"/>
              </w:rPr>
              <w:t>Computationally derived burden</w:t>
            </w:r>
          </w:p>
        </w:tc>
        <w:tc>
          <w:tcPr>
            <w:tcW w:type="dxa" w:w="4649"/>
            <w:vAlign w:val="center"/>
          </w:tcPr>
          <w:p>
            <w:r>
              <w:rPr>
                <w:sz w:val="16"/>
              </w:rPr>
              <w:t>Taylor et al. arm-level gain/loss scoring; continuous values are averaged across finite primary aliquots; scale: Non-negative arm count</w:t>
            </w:r>
          </w:p>
        </w:tc>
        <w:tc>
          <w:tcPr>
            <w:tcW w:type="dxa" w:w="3402"/>
            <w:vAlign w:val="center"/>
          </w:tcPr>
          <w:p>
            <w:r>
              <w:rPr>
                <w:sz w:val="16"/>
              </w:rPr>
              <w:t>Research computational burden, not a directly measured cell count</w:t>
            </w:r>
          </w:p>
        </w:tc>
      </w:tr>
      <w:tr>
        <w:trPr>
          <w:cantSplit/>
        </w:trPr>
        <w:tc>
          <w:tcPr>
            <w:tcW w:type="dxa" w:w="2268"/>
            <w:vAlign w:val="center"/>
          </w:tcPr>
          <w:p>
            <w:r>
              <w:rPr>
                <w:sz w:val="16"/>
              </w:rPr>
              <w:t>CIBERSORT immune-cell fraction</w:t>
            </w:r>
          </w:p>
        </w:tc>
        <w:tc>
          <w:tcPr>
            <w:tcW w:type="dxa" w:w="2381"/>
            <w:vAlign w:val="center"/>
          </w:tcPr>
          <w:p>
            <w:r>
              <w:rPr>
                <w:sz w:val="16"/>
              </w:rPr>
              <w:t>computationally inferred immune-cell fraction</w:t>
            </w:r>
          </w:p>
        </w:tc>
        <w:tc>
          <w:tcPr>
            <w:tcW w:type="dxa" w:w="1247"/>
            <w:vAlign w:val="center"/>
          </w:tcPr>
          <w:p>
            <w:r>
              <w:rPr>
                <w:sz w:val="16"/>
              </w:rPr>
              <w:t>656/22</w:t>
            </w:r>
          </w:p>
        </w:tc>
        <w:tc>
          <w:tcPr>
            <w:tcW w:type="dxa" w:w="2835"/>
            <w:vAlign w:val="center"/>
          </w:tcPr>
          <w:p>
            <w:r>
              <w:rPr>
                <w:sz w:val="16"/>
              </w:rPr>
              <w:t>Bulk-tumour RNA sequencing</w:t>
            </w:r>
          </w:p>
        </w:tc>
        <w:tc>
          <w:tcPr>
            <w:tcW w:type="dxa" w:w="2608"/>
            <w:vAlign w:val="center"/>
          </w:tcPr>
          <w:p>
            <w:r>
              <w:rPr>
                <w:sz w:val="16"/>
              </w:rPr>
              <w:t>Computationally inferred</w:t>
            </w:r>
          </w:p>
        </w:tc>
        <w:tc>
          <w:tcPr>
            <w:tcW w:type="dxa" w:w="4649"/>
            <w:vAlign w:val="center"/>
          </w:tcPr>
          <w:p>
            <w:r>
              <w:rPr>
                <w:sz w:val="16"/>
              </w:rPr>
              <w:t>CIBERSORT deconvolution with the LM22 leukocyte signature; relative fraction within the inferred leukocyte compartment; scale: Relative proportion, approximately 0–1</w:t>
            </w:r>
          </w:p>
        </w:tc>
        <w:tc>
          <w:tcPr>
            <w:tcW w:type="dxa" w:w="3402"/>
            <w:vAlign w:val="center"/>
          </w:tcPr>
          <w:p>
            <w:r>
              <w:rPr>
                <w:sz w:val="16"/>
              </w:rPr>
              <w:t>Not equivalent to flow cytometry, IHC or a direct cell count</w:t>
            </w:r>
          </w:p>
        </w:tc>
      </w:tr>
      <w:tr>
        <w:trPr>
          <w:cantSplit/>
        </w:trPr>
        <w:tc>
          <w:tcPr>
            <w:tcW w:type="dxa" w:w="2268"/>
            <w:vAlign w:val="center"/>
          </w:tcPr>
          <w:p>
            <w:r>
              <w:rPr>
                <w:sz w:val="16"/>
              </w:rPr>
              <w:t>Fusion burden</w:t>
            </w:r>
          </w:p>
        </w:tc>
        <w:tc>
          <w:tcPr>
            <w:tcW w:type="dxa" w:w="2381"/>
            <w:vAlign w:val="center"/>
          </w:tcPr>
          <w:p>
            <w:r>
              <w:rPr>
                <w:sz w:val="16"/>
              </w:rPr>
              <w:t>sequencing-derived continuous burden</w:t>
            </w:r>
          </w:p>
        </w:tc>
        <w:tc>
          <w:tcPr>
            <w:tcW w:type="dxa" w:w="1247"/>
            <w:vAlign w:val="center"/>
          </w:tcPr>
          <w:p>
            <w:r>
              <w:rPr>
                <w:sz w:val="16"/>
              </w:rPr>
              <w:t>30/1</w:t>
            </w:r>
          </w:p>
        </w:tc>
        <w:tc>
          <w:tcPr>
            <w:tcW w:type="dxa" w:w="2835"/>
            <w:vAlign w:val="center"/>
          </w:tcPr>
          <w:p>
            <w:r>
              <w:rPr>
                <w:sz w:val="16"/>
              </w:rPr>
              <w:t>Tumour RNA sequencing</w:t>
            </w:r>
          </w:p>
        </w:tc>
        <w:tc>
          <w:tcPr>
            <w:tcW w:type="dxa" w:w="2608"/>
            <w:vAlign w:val="center"/>
          </w:tcPr>
          <w:p>
            <w:r>
              <w:rPr>
                <w:sz w:val="16"/>
              </w:rPr>
              <w:t>Computational fusion calls collapsed to a count</w:t>
            </w:r>
          </w:p>
        </w:tc>
        <w:tc>
          <w:tcPr>
            <w:tcW w:type="dxa" w:w="4649"/>
            <w:vAlign w:val="center"/>
          </w:tcPr>
          <w:p>
            <w:r>
              <w:rPr>
                <w:sz w:val="16"/>
              </w:rPr>
              <w:t>Number of unique Gao et al. final-call-set fusions among covered samples; zero requires inclusion in the study sample list and no retained call; scale: Non-negative unique-fusion count</w:t>
            </w:r>
          </w:p>
        </w:tc>
        <w:tc>
          <w:tcPr>
            <w:tcW w:type="dxa" w:w="3402"/>
            <w:vAlign w:val="center"/>
          </w:tcPr>
          <w:p>
            <w:r>
              <w:rPr>
                <w:sz w:val="16"/>
              </w:rPr>
              <w:t>Research RNA-seq call burden, not a targeted clinical fusion assay</w:t>
            </w:r>
          </w:p>
        </w:tc>
      </w:tr>
      <w:tr>
        <w:trPr>
          <w:cantSplit/>
        </w:trPr>
        <w:tc>
          <w:tcPr>
            <w:tcW w:type="dxa" w:w="2268"/>
            <w:vAlign w:val="center"/>
          </w:tcPr>
          <w:p>
            <w:r>
              <w:rPr>
                <w:sz w:val="16"/>
              </w:rPr>
              <w:t>Gene-specific somatic mutation</w:t>
            </w:r>
          </w:p>
        </w:tc>
        <w:tc>
          <w:tcPr>
            <w:tcW w:type="dxa" w:w="2381"/>
            <w:vAlign w:val="center"/>
          </w:tcPr>
          <w:p>
            <w:r>
              <w:rPr>
                <w:sz w:val="16"/>
              </w:rPr>
              <w:t>directly observed genomic alteration</w:t>
            </w:r>
          </w:p>
        </w:tc>
        <w:tc>
          <w:tcPr>
            <w:tcW w:type="dxa" w:w="1247"/>
            <w:vAlign w:val="center"/>
          </w:tcPr>
          <w:p>
            <w:r>
              <w:rPr>
                <w:sz w:val="16"/>
              </w:rPr>
              <w:t>238/122</w:t>
            </w:r>
          </w:p>
        </w:tc>
        <w:tc>
          <w:tcPr>
            <w:tcW w:type="dxa" w:w="2835"/>
            <w:vAlign w:val="center"/>
          </w:tcPr>
          <w:p>
            <w:r>
              <w:rPr>
                <w:sz w:val="16"/>
              </w:rPr>
              <w:t>Tumour DNA sequencing (MC3 consensus somatic calls)</w:t>
            </w:r>
          </w:p>
        </w:tc>
        <w:tc>
          <w:tcPr>
            <w:tcW w:type="dxa" w:w="2608"/>
            <w:vAlign w:val="center"/>
          </w:tcPr>
          <w:p>
            <w:r>
              <w:rPr>
                <w:sz w:val="16"/>
              </w:rPr>
              <w:t>Sequence-supported alteration call; computationally called</w:t>
            </w:r>
          </w:p>
        </w:tc>
        <w:tc>
          <w:tcPr>
            <w:tcW w:type="dxa" w:w="4649"/>
            <w:vAlign w:val="center"/>
          </w:tcPr>
          <w:p>
            <w:r>
              <w:rPr>
                <w:sz w:val="16"/>
              </w:rPr>
              <w:t>MC3 consensus PASS call restricted to nine protein-altering variant classes; wild type requires a matched primary-tumour MC3 profile; scale: Binary 0/1 per gene</w:t>
            </w:r>
          </w:p>
        </w:tc>
        <w:tc>
          <w:tcPr>
            <w:tcW w:type="dxa" w:w="3402"/>
            <w:vAlign w:val="center"/>
          </w:tcPr>
          <w:p>
            <w:r>
              <w:rPr>
                <w:sz w:val="16"/>
              </w:rPr>
              <w:t>Research sequencing call, not a clinically certified companion-diagnostic assay</w:t>
            </w:r>
          </w:p>
        </w:tc>
      </w:tr>
      <w:tr>
        <w:trPr>
          <w:cantSplit/>
        </w:trPr>
        <w:tc>
          <w:tcPr>
            <w:tcW w:type="dxa" w:w="2268"/>
            <w:vAlign w:val="center"/>
          </w:tcPr>
          <w:p>
            <w:r>
              <w:rPr>
                <w:sz w:val="16"/>
              </w:rPr>
              <w:t>Genome-doubling call</w:t>
            </w:r>
          </w:p>
        </w:tc>
        <w:tc>
          <w:tcPr>
            <w:tcW w:type="dxa" w:w="2381"/>
            <w:vAlign w:val="center"/>
          </w:tcPr>
          <w:p>
            <w:r>
              <w:rPr>
                <w:sz w:val="16"/>
              </w:rPr>
              <w:t>composite genomic-context score</w:t>
            </w:r>
          </w:p>
        </w:tc>
        <w:tc>
          <w:tcPr>
            <w:tcW w:type="dxa" w:w="1247"/>
            <w:vAlign w:val="center"/>
          </w:tcPr>
          <w:p>
            <w:r>
              <w:rPr>
                <w:sz w:val="16"/>
              </w:rPr>
              <w:t>22/1</w:t>
            </w:r>
          </w:p>
        </w:tc>
        <w:tc>
          <w:tcPr>
            <w:tcW w:type="dxa" w:w="2835"/>
            <w:vAlign w:val="center"/>
          </w:tcPr>
          <w:p>
            <w:r>
              <w:rPr>
                <w:sz w:val="16"/>
              </w:rPr>
              <w:t>Allele-specific copy-number profiles</w:t>
            </w:r>
          </w:p>
        </w:tc>
        <w:tc>
          <w:tcPr>
            <w:tcW w:type="dxa" w:w="2608"/>
            <w:vAlign w:val="center"/>
          </w:tcPr>
          <w:p>
            <w:r>
              <w:rPr>
                <w:sz w:val="16"/>
              </w:rPr>
              <w:t>Computationally inferred whole-genome-doubling status</w:t>
            </w:r>
          </w:p>
        </w:tc>
        <w:tc>
          <w:tcPr>
            <w:tcW w:type="dxa" w:w="4649"/>
            <w:vAlign w:val="center"/>
          </w:tcPr>
          <w:p>
            <w:r>
              <w:rPr>
                <w:sz w:val="16"/>
              </w:rPr>
              <w:t>Taylor et al. genome-doubling call from allele-specific copy-number/ploidy analysis; any positive primary aliquot defines patient positivity; scale: Binary 0/1</w:t>
            </w:r>
          </w:p>
        </w:tc>
        <w:tc>
          <w:tcPr>
            <w:tcW w:type="dxa" w:w="3402"/>
            <w:vAlign w:val="center"/>
          </w:tcPr>
          <w:p>
            <w:r>
              <w:rPr>
                <w:sz w:val="16"/>
              </w:rPr>
              <w:t>Research copy-number inference, not a directly observed karyotype</w:t>
            </w:r>
          </w:p>
        </w:tc>
      </w:tr>
      <w:tr>
        <w:trPr>
          <w:cantSplit/>
        </w:trPr>
        <w:tc>
          <w:tcPr>
            <w:tcW w:type="dxa" w:w="2268"/>
            <w:vAlign w:val="center"/>
          </w:tcPr>
          <w:p>
            <w:r>
              <w:rPr>
                <w:sz w:val="16"/>
              </w:rPr>
              <w:t>Genomic-context score</w:t>
            </w:r>
          </w:p>
        </w:tc>
        <w:tc>
          <w:tcPr>
            <w:tcW w:type="dxa" w:w="2381"/>
            <w:vAlign w:val="center"/>
          </w:tcPr>
          <w:p>
            <w:r>
              <w:rPr>
                <w:sz w:val="16"/>
              </w:rPr>
              <w:t>composite genomic-context score</w:t>
            </w:r>
          </w:p>
        </w:tc>
        <w:tc>
          <w:tcPr>
            <w:tcW w:type="dxa" w:w="1247"/>
            <w:vAlign w:val="center"/>
          </w:tcPr>
          <w:p>
            <w:r>
              <w:rPr>
                <w:sz w:val="16"/>
              </w:rPr>
              <w:t>120/4</w:t>
            </w:r>
          </w:p>
        </w:tc>
        <w:tc>
          <w:tcPr>
            <w:tcW w:type="dxa" w:w="2835"/>
            <w:vAlign w:val="center"/>
          </w:tcPr>
          <w:p>
            <w:r>
              <w:rPr>
                <w:sz w:val="16"/>
              </w:rPr>
              <w:t>Somatic copy-number and/or variant profiles</w:t>
            </w:r>
          </w:p>
        </w:tc>
        <w:tc>
          <w:tcPr>
            <w:tcW w:type="dxa" w:w="2608"/>
            <w:vAlign w:val="center"/>
          </w:tcPr>
          <w:p>
            <w:r>
              <w:rPr>
                <w:sz w:val="16"/>
              </w:rPr>
              <w:t>Computationally derived</w:t>
            </w:r>
          </w:p>
        </w:tc>
        <w:tc>
          <w:tcPr>
            <w:tcW w:type="dxa" w:w="4649"/>
            <w:vAlign w:val="center"/>
          </w:tcPr>
          <w:p>
            <w:r>
              <w:rPr>
                <w:sz w:val="16"/>
              </w:rPr>
              <w:t>PanCancer genomic-context feature compiled by Thorsson et al.; exact source definition is retained in the PanImmune feature matrix; scale: Non-negative source score/count</w:t>
            </w:r>
          </w:p>
        </w:tc>
        <w:tc>
          <w:tcPr>
            <w:tcW w:type="dxa" w:w="3402"/>
            <w:vAlign w:val="center"/>
          </w:tcPr>
          <w:p>
            <w:r>
              <w:rPr>
                <w:sz w:val="16"/>
              </w:rPr>
              <w:t>Research computational score, not a direct laboratory measurement</w:t>
            </w:r>
          </w:p>
        </w:tc>
      </w:tr>
      <w:tr>
        <w:trPr>
          <w:cantSplit/>
        </w:trPr>
        <w:tc>
          <w:tcPr>
            <w:tcW w:type="dxa" w:w="2268"/>
            <w:vAlign w:val="center"/>
          </w:tcPr>
          <w:p>
            <w:r>
              <w:rPr>
                <w:sz w:val="16"/>
              </w:rPr>
              <w:t>H&amp;E-derived TIL regional fraction</w:t>
            </w:r>
          </w:p>
        </w:tc>
        <w:tc>
          <w:tcPr>
            <w:tcW w:type="dxa" w:w="2381"/>
            <w:vAlign w:val="center"/>
          </w:tcPr>
          <w:p>
            <w:r>
              <w:rPr>
                <w:sz w:val="16"/>
              </w:rPr>
              <w:t>pathology-associated quantity</w:t>
            </w:r>
          </w:p>
        </w:tc>
        <w:tc>
          <w:tcPr>
            <w:tcW w:type="dxa" w:w="1247"/>
            <w:vAlign w:val="center"/>
          </w:tcPr>
          <w:p>
            <w:r>
              <w:rPr>
                <w:sz w:val="16"/>
              </w:rPr>
              <w:t>13/1</w:t>
            </w:r>
          </w:p>
        </w:tc>
        <w:tc>
          <w:tcPr>
            <w:tcW w:type="dxa" w:w="2835"/>
            <w:vAlign w:val="center"/>
          </w:tcPr>
          <w:p>
            <w:r>
              <w:rPr>
                <w:sz w:val="16"/>
              </w:rPr>
              <w:t>Digitised H&amp;E whole-slide image</w:t>
            </w:r>
          </w:p>
        </w:tc>
        <w:tc>
          <w:tcPr>
            <w:tcW w:type="dxa" w:w="2608"/>
            <w:vAlign w:val="center"/>
          </w:tcPr>
          <w:p>
            <w:r>
              <w:rPr>
                <w:sz w:val="16"/>
              </w:rPr>
              <w:t>Computationally inferred from histology</w:t>
            </w:r>
          </w:p>
        </w:tc>
        <w:tc>
          <w:tcPr>
            <w:tcW w:type="dxa" w:w="4649"/>
            <w:vAlign w:val="center"/>
          </w:tcPr>
          <w:p>
            <w:r>
              <w:rPr>
                <w:sz w:val="16"/>
              </w:rPr>
              <w:t>Saltz et al. deep-learning TIL map; fraction of tissue 50×50-µm regions classified as TIL-positive; scale: Percentage of analysed tissue regions</w:t>
            </w:r>
          </w:p>
        </w:tc>
        <w:tc>
          <w:tcPr>
            <w:tcW w:type="dxa" w:w="3402"/>
            <w:vAlign w:val="center"/>
          </w:tcPr>
          <w:p>
            <w:r>
              <w:rPr>
                <w:sz w:val="16"/>
              </w:rPr>
              <w:t>Same-modality concordance target: predicting it from TITAN H&amp;E representations is not cross-modal molecular prediction or a directly counted TIL assay</w:t>
            </w:r>
          </w:p>
        </w:tc>
      </w:tr>
      <w:tr>
        <w:trPr>
          <w:cantSplit/>
        </w:trPr>
        <w:tc>
          <w:tcPr>
            <w:tcW w:type="dxa" w:w="2268"/>
            <w:vAlign w:val="center"/>
          </w:tcPr>
          <w:p>
            <w:r>
              <w:rPr>
                <w:sz w:val="16"/>
              </w:rPr>
              <w:t>Immune-repertoire diversity</w:t>
            </w:r>
          </w:p>
        </w:tc>
        <w:tc>
          <w:tcPr>
            <w:tcW w:type="dxa" w:w="2381"/>
            <w:vAlign w:val="center"/>
          </w:tcPr>
          <w:p>
            <w:r>
              <w:rPr>
                <w:sz w:val="16"/>
              </w:rPr>
              <w:t>sequencing-derived continuous burden</w:t>
            </w:r>
          </w:p>
        </w:tc>
        <w:tc>
          <w:tcPr>
            <w:tcW w:type="dxa" w:w="1247"/>
            <w:vAlign w:val="center"/>
          </w:tcPr>
          <w:p>
            <w:r>
              <w:rPr>
                <w:sz w:val="16"/>
              </w:rPr>
              <w:t>147/6</w:t>
            </w:r>
          </w:p>
        </w:tc>
        <w:tc>
          <w:tcPr>
            <w:tcW w:type="dxa" w:w="2835"/>
            <w:vAlign w:val="center"/>
          </w:tcPr>
          <w:p>
            <w:r>
              <w:rPr>
                <w:sz w:val="16"/>
              </w:rPr>
              <w:t>Unselected bulk-tumour RNA sequencing</w:t>
            </w:r>
          </w:p>
        </w:tc>
        <w:tc>
          <w:tcPr>
            <w:tcW w:type="dxa" w:w="2608"/>
            <w:vAlign w:val="center"/>
          </w:tcPr>
          <w:p>
            <w:r>
              <w:rPr>
                <w:sz w:val="16"/>
              </w:rPr>
              <w:t>Computationally reconstructed repertoire metric</w:t>
            </w:r>
          </w:p>
        </w:tc>
        <w:tc>
          <w:tcPr>
            <w:tcW w:type="dxa" w:w="4649"/>
            <w:vAlign w:val="center"/>
          </w:tcPr>
          <w:p>
            <w:r>
              <w:rPr>
                <w:sz w:val="16"/>
              </w:rPr>
              <w:t>BCR/TCR CDR3 reconstruction from RNA-seq followed by richness, Shannon or evenness calculation as supplied by Thorsson et al.; scale: Non-negative reconstructed-clonotype count</w:t>
            </w:r>
          </w:p>
        </w:tc>
        <w:tc>
          <w:tcPr>
            <w:tcW w:type="dxa" w:w="3402"/>
            <w:vAlign w:val="center"/>
          </w:tcPr>
          <w:p>
            <w:r>
              <w:rPr>
                <w:sz w:val="16"/>
              </w:rPr>
              <w:t>Not equivalent to targeted BCR/TCR sequencing or direct lymphocyte counts</w:t>
            </w:r>
          </w:p>
        </w:tc>
      </w:tr>
      <w:tr>
        <w:trPr>
          <w:cantSplit/>
        </w:trPr>
        <w:tc>
          <w:tcPr>
            <w:tcW w:type="dxa" w:w="2268"/>
            <w:vAlign w:val="center"/>
          </w:tcPr>
          <w:p>
            <w:r>
              <w:rPr>
                <w:sz w:val="16"/>
              </w:rPr>
              <w:t>Intratumour-heterogeneity score</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Somatic variant/copy-number profiles</w:t>
            </w:r>
          </w:p>
        </w:tc>
        <w:tc>
          <w:tcPr>
            <w:tcW w:type="dxa" w:w="2608"/>
            <w:vAlign w:val="center"/>
          </w:tcPr>
          <w:p>
            <w:r>
              <w:rPr>
                <w:sz w:val="16"/>
              </w:rPr>
              <w:t>Computationally inferred</w:t>
            </w:r>
          </w:p>
        </w:tc>
        <w:tc>
          <w:tcPr>
            <w:tcW w:type="dxa" w:w="4649"/>
            <w:vAlign w:val="center"/>
          </w:tcPr>
          <w:p>
            <w:r>
              <w:rPr>
                <w:sz w:val="16"/>
              </w:rPr>
              <w:t>ABSOLUTE-derived subclonal heterogeneity measure compiled by Thorsson et al.; scale: Source heterogeneity score</w:t>
            </w:r>
          </w:p>
        </w:tc>
        <w:tc>
          <w:tcPr>
            <w:tcW w:type="dxa" w:w="3402"/>
            <w:vAlign w:val="center"/>
          </w:tcPr>
          <w:p>
            <w:r>
              <w:rPr>
                <w:sz w:val="16"/>
              </w:rPr>
              <w:t>Not a direct spatial or single-cell heterogeneity measurement</w:t>
            </w:r>
          </w:p>
        </w:tc>
      </w:tr>
      <w:tr>
        <w:trPr>
          <w:cantSplit/>
        </w:trPr>
        <w:tc>
          <w:tcPr>
            <w:tcW w:type="dxa" w:w="2268"/>
            <w:vAlign w:val="center"/>
          </w:tcPr>
          <w:p>
            <w:r>
              <w:rPr>
                <w:sz w:val="16"/>
              </w:rPr>
              <w:t>MSI score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MANTIS repeat-instability score supplied by the TCGA PanCancer study; scale: Non-negative algorithm score on its source scale</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MSI threshold status</w:t>
            </w:r>
          </w:p>
        </w:tc>
        <w:tc>
          <w:tcPr>
            <w:tcW w:type="dxa" w:w="2381"/>
            <w:vAlign w:val="center"/>
          </w:tcPr>
          <w:p>
            <w:r>
              <w:rPr>
                <w:sz w:val="16"/>
              </w:rPr>
              <w:t>composite genomic-context score</w:t>
            </w:r>
          </w:p>
        </w:tc>
        <w:tc>
          <w:tcPr>
            <w:tcW w:type="dxa" w:w="1247"/>
            <w:vAlign w:val="center"/>
          </w:tcPr>
          <w:p>
            <w:r>
              <w:rPr>
                <w:sz w:val="16"/>
              </w:rPr>
              <w:t>6/2</w:t>
            </w:r>
          </w:p>
        </w:tc>
        <w:tc>
          <w:tcPr>
            <w:tcW w:type="dxa" w:w="2835"/>
            <w:vAlign w:val="center"/>
          </w:tcPr>
          <w:p>
            <w:r>
              <w:rPr>
                <w:sz w:val="16"/>
              </w:rPr>
              <w:t>Matched tumour-normal DNA sequencing</w:t>
            </w:r>
          </w:p>
        </w:tc>
        <w:tc>
          <w:tcPr>
            <w:tcW w:type="dxa" w:w="2608"/>
            <w:vAlign w:val="center"/>
          </w:tcPr>
          <w:p>
            <w:r>
              <w:rPr>
                <w:sz w:val="16"/>
              </w:rPr>
              <w:t>Computational MSI score/status</w:t>
            </w:r>
          </w:p>
        </w:tc>
        <w:tc>
          <w:tcPr>
            <w:tcW w:type="dxa" w:w="4649"/>
            <w:vAlign w:val="center"/>
          </w:tcPr>
          <w:p>
            <w:r>
              <w:rPr>
                <w:sz w:val="16"/>
              </w:rPr>
              <w:t>Bonneville-aligned definition: MANTIS score &gt;0.4 is MSI-H; scale: Binary 0/1</w:t>
            </w:r>
          </w:p>
        </w:tc>
        <w:tc>
          <w:tcPr>
            <w:tcW w:type="dxa" w:w="3402"/>
            <w:vAlign w:val="center"/>
          </w:tcPr>
          <w:p>
            <w:r>
              <w:rPr>
                <w:sz w:val="16"/>
              </w:rPr>
              <w:t>Research sequencing algorithm output; not equivalent to a certified PCR, IHC or clinical NGS MSI assay</w:t>
            </w:r>
          </w:p>
        </w:tc>
      </w:tr>
      <w:tr>
        <w:trPr>
          <w:cantSplit/>
        </w:trPr>
        <w:tc>
          <w:tcPr>
            <w:tcW w:type="dxa" w:w="2268"/>
            <w:vAlign w:val="center"/>
          </w:tcPr>
          <w:p>
            <w:r>
              <w:rPr>
                <w:sz w:val="16"/>
              </w:rPr>
              <w:t>Methylation-derived leukocyte fraction</w:t>
            </w:r>
          </w:p>
        </w:tc>
        <w:tc>
          <w:tcPr>
            <w:tcW w:type="dxa" w:w="2381"/>
            <w:vAlign w:val="center"/>
          </w:tcPr>
          <w:p>
            <w:r>
              <w:rPr>
                <w:sz w:val="16"/>
              </w:rPr>
              <w:t>computationally inferred immune-cell fraction</w:t>
            </w:r>
          </w:p>
        </w:tc>
        <w:tc>
          <w:tcPr>
            <w:tcW w:type="dxa" w:w="1247"/>
            <w:vAlign w:val="center"/>
          </w:tcPr>
          <w:p>
            <w:r>
              <w:rPr>
                <w:sz w:val="16"/>
              </w:rPr>
              <w:t>29/1</w:t>
            </w:r>
          </w:p>
        </w:tc>
        <w:tc>
          <w:tcPr>
            <w:tcW w:type="dxa" w:w="2835"/>
            <w:vAlign w:val="center"/>
          </w:tcPr>
          <w:p>
            <w:r>
              <w:rPr>
                <w:sz w:val="16"/>
              </w:rPr>
              <w:t>Bulk-tumour DNA methylation array</w:t>
            </w:r>
          </w:p>
        </w:tc>
        <w:tc>
          <w:tcPr>
            <w:tcW w:type="dxa" w:w="2608"/>
            <w:vAlign w:val="center"/>
          </w:tcPr>
          <w:p>
            <w:r>
              <w:rPr>
                <w:sz w:val="16"/>
              </w:rPr>
              <w:t>Computationally inferred</w:t>
            </w:r>
          </w:p>
        </w:tc>
        <w:tc>
          <w:tcPr>
            <w:tcW w:type="dxa" w:w="4649"/>
            <w:vAlign w:val="center"/>
          </w:tcPr>
          <w:p>
            <w:r>
              <w:rPr>
                <w:sz w:val="16"/>
              </w:rPr>
              <w:t>PanCancer methylation mixture estimate of total leukocyte fraction; scale: Proportion, approximately 0–1</w:t>
            </w:r>
          </w:p>
        </w:tc>
        <w:tc>
          <w:tcPr>
            <w:tcW w:type="dxa" w:w="3402"/>
            <w:vAlign w:val="center"/>
          </w:tcPr>
          <w:p>
            <w:r>
              <w:rPr>
                <w:sz w:val="16"/>
              </w:rPr>
              <w:t>Not equivalent to flow cytometry, IHC or a directly counted immune-cell assay</w:t>
            </w:r>
          </w:p>
        </w:tc>
      </w:tr>
      <w:tr>
        <w:trPr>
          <w:cantSplit/>
        </w:trPr>
        <w:tc>
          <w:tcPr>
            <w:tcW w:type="dxa" w:w="2268"/>
            <w:vAlign w:val="center"/>
          </w:tcPr>
          <w:p>
            <w:r>
              <w:rPr>
                <w:sz w:val="16"/>
              </w:rPr>
              <w:t>Oncogenic-pathway alteration</w:t>
            </w:r>
          </w:p>
        </w:tc>
        <w:tc>
          <w:tcPr>
            <w:tcW w:type="dxa" w:w="2381"/>
            <w:vAlign w:val="center"/>
          </w:tcPr>
          <w:p>
            <w:r>
              <w:rPr>
                <w:sz w:val="16"/>
              </w:rPr>
              <w:t>composite genomic-context score</w:t>
            </w:r>
          </w:p>
        </w:tc>
        <w:tc>
          <w:tcPr>
            <w:tcW w:type="dxa" w:w="1247"/>
            <w:vAlign w:val="center"/>
          </w:tcPr>
          <w:p>
            <w:r>
              <w:rPr>
                <w:sz w:val="16"/>
              </w:rPr>
              <w:t>166/10</w:t>
            </w:r>
          </w:p>
        </w:tc>
        <w:tc>
          <w:tcPr>
            <w:tcW w:type="dxa" w:w="2835"/>
            <w:vAlign w:val="center"/>
          </w:tcPr>
          <w:p>
            <w:r>
              <w:rPr>
                <w:sz w:val="16"/>
              </w:rPr>
              <w:t>Integrated somatic mutation and copy-number alteration data</w:t>
            </w:r>
          </w:p>
        </w:tc>
        <w:tc>
          <w:tcPr>
            <w:tcW w:type="dxa" w:w="2608"/>
            <w:vAlign w:val="center"/>
          </w:tcPr>
          <w:p>
            <w:r>
              <w:rPr>
                <w:sz w:val="16"/>
              </w:rPr>
              <w:t>Derived binary pathway composite</w:t>
            </w:r>
          </w:p>
        </w:tc>
        <w:tc>
          <w:tcPr>
            <w:tcW w:type="dxa" w:w="4649"/>
            <w:vAlign w:val="center"/>
          </w:tcPr>
          <w:p>
            <w:r>
              <w:rPr>
                <w:sz w:val="16"/>
              </w:rPr>
              <w:t>Sanchez-Vega pathway-level matrix; a patient is positive when a source-defined member gene is altered; any altered primary aliquot defines positivity; scale: Binary 0/1 pathway status</w:t>
            </w:r>
          </w:p>
        </w:tc>
        <w:tc>
          <w:tcPr>
            <w:tcW w:type="dxa" w:w="3402"/>
            <w:vAlign w:val="center"/>
          </w:tcPr>
          <w:p>
            <w:r>
              <w:rPr>
                <w:sz w:val="16"/>
              </w:rPr>
              <w:t>Composite research label, not a single directly measured assay</w:t>
            </w:r>
          </w:p>
        </w:tc>
      </w:tr>
      <w:tr>
        <w:trPr>
          <w:cantSplit/>
        </w:trPr>
        <w:tc>
          <w:tcPr>
            <w:tcW w:type="dxa" w:w="2268"/>
            <w:vAlign w:val="center"/>
          </w:tcPr>
          <w:p>
            <w:r>
              <w:rPr>
                <w:sz w:val="16"/>
              </w:rPr>
              <w:t>Predicted neoantigen burden</w:t>
            </w:r>
          </w:p>
        </w:tc>
        <w:tc>
          <w:tcPr>
            <w:tcW w:type="dxa" w:w="2381"/>
            <w:vAlign w:val="center"/>
          </w:tcPr>
          <w:p>
            <w:r>
              <w:rPr>
                <w:sz w:val="16"/>
              </w:rPr>
              <w:t>sequencing-derived continuous burden</w:t>
            </w:r>
          </w:p>
        </w:tc>
        <w:tc>
          <w:tcPr>
            <w:tcW w:type="dxa" w:w="1247"/>
            <w:vAlign w:val="center"/>
          </w:tcPr>
          <w:p>
            <w:r>
              <w:rPr>
                <w:sz w:val="16"/>
              </w:rPr>
              <w:t>52/2</w:t>
            </w:r>
          </w:p>
        </w:tc>
        <w:tc>
          <w:tcPr>
            <w:tcW w:type="dxa" w:w="2835"/>
            <w:vAlign w:val="center"/>
          </w:tcPr>
          <w:p>
            <w:r>
              <w:rPr>
                <w:sz w:val="16"/>
              </w:rPr>
              <w:t>Somatic variants, HLA calls and tumour RNA sequencing</w:t>
            </w:r>
          </w:p>
        </w:tc>
        <w:tc>
          <w:tcPr>
            <w:tcW w:type="dxa" w:w="2608"/>
            <w:vAlign w:val="center"/>
          </w:tcPr>
          <w:p>
            <w:r>
              <w:rPr>
                <w:sz w:val="16"/>
              </w:rPr>
              <w:t>In-silico peptide–MHC prediction</w:t>
            </w:r>
          </w:p>
        </w:tc>
        <w:tc>
          <w:tcPr>
            <w:tcW w:type="dxa" w:w="4649"/>
            <w:vAlign w:val="center"/>
          </w:tcPr>
          <w:p>
            <w:r>
              <w:rPr>
                <w:sz w:val="16"/>
              </w:rPr>
              <w:t>Thorsson PanImmune neoantigen prediction workflow for SNVs or indels; scale: Non-negative predicted-neoantigen count</w:t>
            </w:r>
          </w:p>
        </w:tc>
        <w:tc>
          <w:tcPr>
            <w:tcW w:type="dxa" w:w="3402"/>
            <w:vAlign w:val="center"/>
          </w:tcPr>
          <w:p>
            <w:r>
              <w:rPr>
                <w:sz w:val="16"/>
              </w:rPr>
              <w:t>Not a directly measured T-cell response or validated neoantigen assay</w:t>
            </w:r>
          </w:p>
        </w:tc>
      </w:tr>
      <w:tr>
        <w:trPr>
          <w:cantSplit/>
        </w:trPr>
        <w:tc>
          <w:tcPr>
            <w:tcW w:type="dxa" w:w="2268"/>
            <w:vAlign w:val="center"/>
          </w:tcPr>
          <w:p>
            <w:r>
              <w:rPr>
                <w:sz w:val="16"/>
              </w:rPr>
              <w:t>Purity-derived stromal fraction</w:t>
            </w:r>
          </w:p>
        </w:tc>
        <w:tc>
          <w:tcPr>
            <w:tcW w:type="dxa" w:w="2381"/>
            <w:vAlign w:val="center"/>
          </w:tcPr>
          <w:p>
            <w:r>
              <w:rPr>
                <w:sz w:val="16"/>
              </w:rPr>
              <w:t>composite genomic-context score</w:t>
            </w:r>
          </w:p>
        </w:tc>
        <w:tc>
          <w:tcPr>
            <w:tcW w:type="dxa" w:w="1247"/>
            <w:vAlign w:val="center"/>
          </w:tcPr>
          <w:p>
            <w:r>
              <w:rPr>
                <w:sz w:val="16"/>
              </w:rPr>
              <w:t>29/1</w:t>
            </w:r>
          </w:p>
        </w:tc>
        <w:tc>
          <w:tcPr>
            <w:tcW w:type="dxa" w:w="2835"/>
            <w:vAlign w:val="center"/>
          </w:tcPr>
          <w:p>
            <w:r>
              <w:rPr>
                <w:sz w:val="16"/>
              </w:rPr>
              <w:t>Integrated copy-number/variant purity estimate</w:t>
            </w:r>
          </w:p>
        </w:tc>
        <w:tc>
          <w:tcPr>
            <w:tcW w:type="dxa" w:w="2608"/>
            <w:vAlign w:val="center"/>
          </w:tcPr>
          <w:p>
            <w:r>
              <w:rPr>
                <w:sz w:val="16"/>
              </w:rPr>
              <w:t>Computationally inferred</w:t>
            </w:r>
          </w:p>
        </w:tc>
        <w:tc>
          <w:tcPr>
            <w:tcW w:type="dxa" w:w="4649"/>
            <w:vAlign w:val="center"/>
          </w:tcPr>
          <w:p>
            <w:r>
              <w:rPr>
                <w:sz w:val="16"/>
              </w:rPr>
              <w:t>One minus ABSOLUTE-estimated tumour purity in the PanCancer resource; scale: Proportion, approximately 0–1</w:t>
            </w:r>
          </w:p>
        </w:tc>
        <w:tc>
          <w:tcPr>
            <w:tcW w:type="dxa" w:w="3402"/>
            <w:vAlign w:val="center"/>
          </w:tcPr>
          <w:p>
            <w:r>
              <w:rPr>
                <w:sz w:val="16"/>
              </w:rPr>
              <w:t>Not a direct histological stromal-area or stromal-cell count</w:t>
            </w:r>
          </w:p>
        </w:tc>
      </w:tr>
      <w:tr>
        <w:trPr>
          <w:cantSplit/>
        </w:trPr>
        <w:tc>
          <w:tcPr>
            <w:tcW w:type="dxa" w:w="2268"/>
            <w:vAlign w:val="center"/>
          </w:tcPr>
          <w:p>
            <w:r>
              <w:rPr>
                <w:sz w:val="16"/>
              </w:rPr>
              <w:t>RNA-expression signature</w:t>
            </w:r>
          </w:p>
        </w:tc>
        <w:tc>
          <w:tcPr>
            <w:tcW w:type="dxa" w:w="2381"/>
            <w:vAlign w:val="center"/>
          </w:tcPr>
          <w:p>
            <w:r>
              <w:rPr>
                <w:sz w:val="16"/>
              </w:rPr>
              <w:t>transcriptomic signature</w:t>
            </w:r>
          </w:p>
        </w:tc>
        <w:tc>
          <w:tcPr>
            <w:tcW w:type="dxa" w:w="1247"/>
            <w:vAlign w:val="center"/>
          </w:tcPr>
          <w:p>
            <w:r>
              <w:rPr>
                <w:sz w:val="16"/>
              </w:rPr>
              <w:t>299/10</w:t>
            </w:r>
          </w:p>
        </w:tc>
        <w:tc>
          <w:tcPr>
            <w:tcW w:type="dxa" w:w="2835"/>
            <w:vAlign w:val="center"/>
          </w:tcPr>
          <w:p>
            <w:r>
              <w:rPr>
                <w:sz w:val="16"/>
              </w:rPr>
              <w:t>Bulk-tumour RNA sequencing</w:t>
            </w:r>
          </w:p>
        </w:tc>
        <w:tc>
          <w:tcPr>
            <w:tcW w:type="dxa" w:w="2608"/>
            <w:vAlign w:val="center"/>
          </w:tcPr>
          <w:p>
            <w:r>
              <w:rPr>
                <w:sz w:val="16"/>
              </w:rPr>
              <w:t>Derived gene-set score</w:t>
            </w:r>
          </w:p>
        </w:tc>
        <w:tc>
          <w:tcPr>
            <w:tcW w:type="dxa" w:w="4649"/>
            <w:vAlign w:val="center"/>
          </w:tcPr>
          <w:p>
            <w:r>
              <w:rPr>
                <w:sz w:val="16"/>
              </w:rPr>
              <w:t>Published PanImmune gene-expression signature scoring on bulk RNA-seq; gene set and scoring definition follow Thorsson et al.; scale: Source signature score; not a physical unit</w:t>
            </w:r>
          </w:p>
        </w:tc>
        <w:tc>
          <w:tcPr>
            <w:tcW w:type="dxa" w:w="3402"/>
            <w:vAlign w:val="center"/>
          </w:tcPr>
          <w:p>
            <w:r>
              <w:rPr>
                <w:sz w:val="16"/>
              </w:rPr>
              <w:t>Not a directly measured protein, immune-cell count or certified biomarker</w:t>
            </w:r>
          </w:p>
        </w:tc>
      </w:tr>
      <w:tr>
        <w:trPr>
          <w:cantSplit/>
        </w:trPr>
        <w:tc>
          <w:tcPr>
            <w:tcW w:type="dxa" w:w="2268"/>
            <w:vAlign w:val="center"/>
          </w:tcPr>
          <w:p>
            <w:r>
              <w:rPr>
                <w:sz w:val="16"/>
              </w:rPr>
              <w:t>Recurrent fusion-pair call</w:t>
            </w:r>
          </w:p>
        </w:tc>
        <w:tc>
          <w:tcPr>
            <w:tcW w:type="dxa" w:w="2381"/>
            <w:vAlign w:val="center"/>
          </w:tcPr>
          <w:p>
            <w:r>
              <w:rPr>
                <w:sz w:val="16"/>
              </w:rPr>
              <w:t>directly observed genomic alteration</w:t>
            </w:r>
          </w:p>
        </w:tc>
        <w:tc>
          <w:tcPr>
            <w:tcW w:type="dxa" w:w="1247"/>
            <w:vAlign w:val="center"/>
          </w:tcPr>
          <w:p>
            <w:r>
              <w:rPr>
                <w:sz w:val="16"/>
              </w:rPr>
              <w:t>2/2</w:t>
            </w:r>
          </w:p>
        </w:tc>
        <w:tc>
          <w:tcPr>
            <w:tcW w:type="dxa" w:w="2835"/>
            <w:vAlign w:val="center"/>
          </w:tcPr>
          <w:p>
            <w:r>
              <w:rPr>
                <w:sz w:val="16"/>
              </w:rPr>
              <w:t>Tumour RNA sequencing</w:t>
            </w:r>
          </w:p>
        </w:tc>
        <w:tc>
          <w:tcPr>
            <w:tcW w:type="dxa" w:w="2608"/>
            <w:vAlign w:val="center"/>
          </w:tcPr>
          <w:p>
            <w:r>
              <w:rPr>
                <w:sz w:val="16"/>
              </w:rPr>
              <w:t>Sequence-supported alteration call; computationally called</w:t>
            </w:r>
          </w:p>
        </w:tc>
        <w:tc>
          <w:tcPr>
            <w:tcW w:type="dxa" w:w="4649"/>
            <w:vAlign w:val="center"/>
          </w:tcPr>
          <w:p>
            <w:r>
              <w:rPr>
                <w:sz w:val="16"/>
              </w:rPr>
              <w:t>Gao et al. final fusion call set; negatives are assigned only within the published study sample list; scale: Binary 0/1</w:t>
            </w:r>
          </w:p>
        </w:tc>
        <w:tc>
          <w:tcPr>
            <w:tcW w:type="dxa" w:w="3402"/>
            <w:vAlign w:val="center"/>
          </w:tcPr>
          <w:p>
            <w:r>
              <w:rPr>
                <w:sz w:val="16"/>
              </w:rPr>
              <w:t>Research RNA-seq call, not a targeted clinical fusion assay</w:t>
            </w:r>
          </w:p>
        </w:tc>
      </w:tr>
      <w:tr>
        <w:trPr>
          <w:cantSplit/>
        </w:trPr>
        <w:tc>
          <w:tcPr>
            <w:tcW w:type="dxa" w:w="2268"/>
            <w:vAlign w:val="center"/>
          </w:tcPr>
          <w:p>
            <w:r>
              <w:rPr>
                <w:sz w:val="16"/>
              </w:rPr>
              <w:t>Somatic mutation rate</w:t>
            </w:r>
          </w:p>
        </w:tc>
        <w:tc>
          <w:tcPr>
            <w:tcW w:type="dxa" w:w="2381"/>
            <w:vAlign w:val="center"/>
          </w:tcPr>
          <w:p>
            <w:r>
              <w:rPr>
                <w:sz w:val="16"/>
              </w:rPr>
              <w:t>sequencing-derived continuous burden</w:t>
            </w:r>
          </w:p>
        </w:tc>
        <w:tc>
          <w:tcPr>
            <w:tcW w:type="dxa" w:w="1247"/>
            <w:vAlign w:val="center"/>
          </w:tcPr>
          <w:p>
            <w:r>
              <w:rPr>
                <w:sz w:val="16"/>
              </w:rPr>
              <w:t>60/2</w:t>
            </w:r>
          </w:p>
        </w:tc>
        <w:tc>
          <w:tcPr>
            <w:tcW w:type="dxa" w:w="2835"/>
            <w:vAlign w:val="center"/>
          </w:tcPr>
          <w:p>
            <w:r>
              <w:rPr>
                <w:sz w:val="16"/>
              </w:rPr>
              <w:t>Tumour DNA sequencing</w:t>
            </w:r>
          </w:p>
        </w:tc>
        <w:tc>
          <w:tcPr>
            <w:tcW w:type="dxa" w:w="2608"/>
            <w:vAlign w:val="center"/>
          </w:tcPr>
          <w:p>
            <w:r>
              <w:rPr>
                <w:sz w:val="16"/>
              </w:rPr>
              <w:t>Derived mutation-rate burden</w:t>
            </w:r>
          </w:p>
        </w:tc>
        <w:tc>
          <w:tcPr>
            <w:tcW w:type="dxa" w:w="4649"/>
            <w:vAlign w:val="center"/>
          </w:tcPr>
          <w:p>
            <w:r>
              <w:rPr>
                <w:sz w:val="16"/>
              </w:rPr>
              <w:t>PanCancer silent or nonsilent somatic mutation rate compiled by Thorsson et al.; scale: Non-negative source mutation rate</w:t>
            </w:r>
          </w:p>
        </w:tc>
        <w:tc>
          <w:tcPr>
            <w:tcW w:type="dxa" w:w="3402"/>
            <w:vAlign w:val="center"/>
          </w:tcPr>
          <w:p>
            <w:r>
              <w:rPr>
                <w:sz w:val="16"/>
              </w:rPr>
              <w:t>Research burden estimate, not a platform-harmonised clinical TMB assay</w:t>
            </w:r>
          </w:p>
        </w:tc>
      </w:tr>
    </w:tbl>
    <w:p/>
    <w:p>
      <w:pPr>
        <w:pStyle w:val="Heading1"/>
      </w:pPr>
      <w:r>
        <w:t>Table S14. Qualitative high/low prediction anchors and within-cancer TITAN neighbours</w:t>
      </w:r>
    </w:p>
    <w:p>
      <w:pPr>
        <w:pStyle w:val="Caption"/>
      </w:pPr>
      <w:r>
        <w:t>Panel A. Five representative modality classes. Prediction values retain their original analysed units. TIL Regional Fraction is a same-H&amp;E-modality concordance example; the remaining rows are descriptive cross-modal contexts.</w:t>
      </w:r>
    </w:p>
    <w:tbl>
      <w:tblPr>
        <w:tblStyle w:val="TableGrid"/>
        <w:tblW w:type="auto" w:w="0"/>
        <w:jc w:val="center"/>
        <w:tblLook w:firstColumn="1" w:firstRow="1" w:lastColumn="0" w:lastRow="0" w:noHBand="0" w:noVBand="1" w:val="04A0"/>
      </w:tblPr>
      <w:tblGrid>
        <w:gridCol w:w="3028"/>
        <w:gridCol w:w="3028"/>
        <w:gridCol w:w="3028"/>
        <w:gridCol w:w="3028"/>
        <w:gridCol w:w="3028"/>
      </w:tblGrid>
      <w:tr>
        <w:trPr>
          <w:tblHeader w:val="true"/>
          <w:cantSplit/>
        </w:trPr>
        <w:tc>
          <w:tcPr>
            <w:tcW w:type="dxa" w:w="2835"/>
          </w:tcPr>
          <w:p>
            <w:r>
              <w:rPr>
                <w:b/>
                <w:sz w:val="17"/>
              </w:rPr>
              <w:t>Cancer–endpoint</w:t>
            </w:r>
          </w:p>
        </w:tc>
        <w:tc>
          <w:tcPr>
            <w:tcW w:type="dxa" w:w="2835"/>
          </w:tcPr>
          <w:p>
            <w:r>
              <w:rPr>
                <w:b/>
                <w:sz w:val="17"/>
              </w:rPr>
              <w:t>Target class</w:t>
            </w:r>
          </w:p>
        </w:tc>
        <w:tc>
          <w:tcPr>
            <w:tcW w:type="dxa" w:w="2948"/>
          </w:tcPr>
          <w:p>
            <w:r>
              <w:rPr>
                <w:b/>
                <w:sz w:val="17"/>
              </w:rPr>
              <w:t>High patient: observed/predicted</w:t>
            </w:r>
          </w:p>
        </w:tc>
        <w:tc>
          <w:tcPr>
            <w:tcW w:type="dxa" w:w="2948"/>
          </w:tcPr>
          <w:p>
            <w:r>
              <w:rPr>
                <w:b/>
                <w:sz w:val="17"/>
              </w:rPr>
              <w:t>Low patient: observed/predicted</w:t>
            </w:r>
          </w:p>
        </w:tc>
        <w:tc>
          <w:tcPr>
            <w:tcW w:type="dxa" w:w="5953"/>
          </w:tcPr>
          <w:p>
            <w:r>
              <w:rPr>
                <w:b/>
                <w:sz w:val="17"/>
              </w:rPr>
              <w:t>Interpretation</w:t>
            </w:r>
          </w:p>
        </w:tc>
      </w:tr>
      <w:tr>
        <w:trPr>
          <w:cantSplit/>
        </w:trPr>
        <w:tc>
          <w:tcPr>
            <w:tcW w:type="dxa" w:w="2835"/>
            <w:vAlign w:val="center"/>
          </w:tcPr>
          <w:p>
            <w:r>
              <w:rPr>
                <w:sz w:val="16"/>
              </w:rPr>
              <w:t>BLCA–TIL Regional Fraction</w:t>
            </w:r>
          </w:p>
        </w:tc>
        <w:tc>
          <w:tcPr>
            <w:tcW w:type="dxa" w:w="2835"/>
            <w:vAlign w:val="center"/>
          </w:tcPr>
          <w:p>
            <w:r>
              <w:rPr>
                <w:sz w:val="16"/>
              </w:rPr>
              <w:t>H&amp;E-derived pathology quantity</w:t>
            </w:r>
          </w:p>
        </w:tc>
        <w:tc>
          <w:tcPr>
            <w:tcW w:type="dxa" w:w="2948"/>
            <w:vAlign w:val="center"/>
          </w:tcPr>
          <w:p>
            <w:r>
              <w:rPr>
                <w:sz w:val="16"/>
              </w:rPr>
              <w:t>TCGA-FD-A5BS: 20.6511/23.1239</w:t>
            </w:r>
          </w:p>
        </w:tc>
        <w:tc>
          <w:tcPr>
            <w:tcW w:type="dxa" w:w="2948"/>
            <w:vAlign w:val="center"/>
          </w:tcPr>
          <w:p>
            <w:r>
              <w:rPr>
                <w:sz w:val="16"/>
              </w:rPr>
              <w:t>TCGA-BL-A0C8: 0.0199/-6.6838</w:t>
            </w:r>
          </w:p>
        </w:tc>
        <w:tc>
          <w:tcPr>
            <w:tcW w:type="dxa" w:w="5953"/>
            <w:vAlign w:val="center"/>
          </w:tcPr>
          <w:p>
            <w:r>
              <w:rPr>
                <w:sz w:val="16"/>
              </w:rPr>
              <w:t>Same-modality concordance/positive-control example because the target was itself inferred from H&amp;E; not molecular prediction</w:t>
            </w:r>
          </w:p>
        </w:tc>
      </w:tr>
      <w:tr>
        <w:trPr>
          <w:cantSplit/>
        </w:trPr>
        <w:tc>
          <w:tcPr>
            <w:tcW w:type="dxa" w:w="2835"/>
            <w:vAlign w:val="center"/>
          </w:tcPr>
          <w:p>
            <w:r>
              <w:rPr>
                <w:sz w:val="16"/>
              </w:rPr>
              <w:t>TGCT–Macrophages M2</w:t>
            </w:r>
          </w:p>
        </w:tc>
        <w:tc>
          <w:tcPr>
            <w:tcW w:type="dxa" w:w="2835"/>
            <w:vAlign w:val="center"/>
          </w:tcPr>
          <w:p>
            <w:r>
              <w:rPr>
                <w:sz w:val="16"/>
              </w:rPr>
              <w:t>RNA-derived CIBERSORT fraction</w:t>
            </w:r>
          </w:p>
        </w:tc>
        <w:tc>
          <w:tcPr>
            <w:tcW w:type="dxa" w:w="2948"/>
            <w:vAlign w:val="center"/>
          </w:tcPr>
          <w:p>
            <w:r>
              <w:rPr>
                <w:sz w:val="16"/>
              </w:rPr>
              <w:t>TCGA-YU-A94D: 0.4327/0.3316</w:t>
            </w:r>
          </w:p>
        </w:tc>
        <w:tc>
          <w:tcPr>
            <w:tcW w:type="dxa" w:w="2948"/>
            <w:vAlign w:val="center"/>
          </w:tcPr>
          <w:p>
            <w:r>
              <w:rPr>
                <w:sz w:val="16"/>
              </w:rPr>
              <w:t>TCGA-2G-AAF6: 0.0792/0.0518</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BRCA–Wound Healing</w:t>
            </w:r>
          </w:p>
        </w:tc>
        <w:tc>
          <w:tcPr>
            <w:tcW w:type="dxa" w:w="2835"/>
            <w:vAlign w:val="center"/>
          </w:tcPr>
          <w:p>
            <w:r>
              <w:rPr>
                <w:sz w:val="16"/>
              </w:rPr>
              <w:t>RNA-expression signature</w:t>
            </w:r>
          </w:p>
        </w:tc>
        <w:tc>
          <w:tcPr>
            <w:tcW w:type="dxa" w:w="2948"/>
            <w:vAlign w:val="center"/>
          </w:tcPr>
          <w:p>
            <w:r>
              <w:rPr>
                <w:sz w:val="16"/>
              </w:rPr>
              <w:t>TCGA-AR-A1AH: 0.2475/0.3821</w:t>
            </w:r>
          </w:p>
        </w:tc>
        <w:tc>
          <w:tcPr>
            <w:tcW w:type="dxa" w:w="2948"/>
            <w:vAlign w:val="center"/>
          </w:tcPr>
          <w:p>
            <w:r>
              <w:rPr>
                <w:sz w:val="16"/>
              </w:rPr>
              <w:t>TCGA-E9-A5UO: -0.1290/-0.2589</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UCEC–Aneuploidy score</w:t>
            </w:r>
          </w:p>
        </w:tc>
        <w:tc>
          <w:tcPr>
            <w:tcW w:type="dxa" w:w="2835"/>
            <w:vAlign w:val="center"/>
          </w:tcPr>
          <w:p>
            <w:r>
              <w:rPr>
                <w:sz w:val="16"/>
              </w:rPr>
              <w:t>copy-number-derived burden</w:t>
            </w:r>
          </w:p>
        </w:tc>
        <w:tc>
          <w:tcPr>
            <w:tcW w:type="dxa" w:w="2948"/>
            <w:vAlign w:val="center"/>
          </w:tcPr>
          <w:p>
            <w:r>
              <w:rPr>
                <w:sz w:val="16"/>
              </w:rPr>
              <w:t>TCGA-AJ-A23M: 20.0000/19.2810</w:t>
            </w:r>
          </w:p>
        </w:tc>
        <w:tc>
          <w:tcPr>
            <w:tcW w:type="dxa" w:w="2948"/>
            <w:vAlign w:val="center"/>
          </w:tcPr>
          <w:p>
            <w:r>
              <w:rPr>
                <w:sz w:val="16"/>
              </w:rPr>
              <w:t>TCGA-D1-A1NS: 0.0000/-1.7225</w:t>
            </w:r>
          </w:p>
        </w:tc>
        <w:tc>
          <w:tcPr>
            <w:tcW w:type="dxa" w:w="5953"/>
            <w:vAlign w:val="center"/>
          </w:tcPr>
          <w:p>
            <w:r>
              <w:rPr>
                <w:sz w:val="16"/>
              </w:rPr>
              <w:t>Qualitative embedding-neighbour and generated-report context only; no patch attribution or blinded pathologist review</w:t>
            </w:r>
          </w:p>
        </w:tc>
      </w:tr>
      <w:tr>
        <w:trPr>
          <w:cantSplit/>
        </w:trPr>
        <w:tc>
          <w:tcPr>
            <w:tcW w:type="dxa" w:w="2835"/>
            <w:vAlign w:val="center"/>
          </w:tcPr>
          <w:p>
            <w:r>
              <w:rPr>
                <w:sz w:val="16"/>
              </w:rPr>
              <w:t>THYM–GTF2I</w:t>
            </w:r>
          </w:p>
        </w:tc>
        <w:tc>
          <w:tcPr>
            <w:tcW w:type="dxa" w:w="2835"/>
            <w:vAlign w:val="center"/>
          </w:tcPr>
          <w:p>
            <w:r>
              <w:rPr>
                <w:sz w:val="16"/>
              </w:rPr>
              <w:t>sequence-supported mutation call</w:t>
            </w:r>
          </w:p>
        </w:tc>
        <w:tc>
          <w:tcPr>
            <w:tcW w:type="dxa" w:w="2948"/>
            <w:vAlign w:val="center"/>
          </w:tcPr>
          <w:p>
            <w:r>
              <w:rPr>
                <w:sz w:val="16"/>
              </w:rPr>
              <w:t>TCGA-ZB-A96H: 1.0000/17.8648</w:t>
            </w:r>
          </w:p>
        </w:tc>
        <w:tc>
          <w:tcPr>
            <w:tcW w:type="dxa" w:w="2948"/>
            <w:vAlign w:val="center"/>
          </w:tcPr>
          <w:p>
            <w:r>
              <w:rPr>
                <w:sz w:val="16"/>
              </w:rPr>
              <w:t>TCGA-4V-A9QS: 0.0000/-29.9794</w:t>
            </w:r>
          </w:p>
        </w:tc>
        <w:tc>
          <w:tcPr>
            <w:tcW w:type="dxa" w:w="5953"/>
            <w:vAlign w:val="center"/>
          </w:tcPr>
          <w:p>
            <w:r>
              <w:rPr>
                <w:sz w:val="16"/>
              </w:rPr>
              <w:t>Qualitative embedding-neighbour and generated-report context only; no patch attribution or blinded pathologist review</w:t>
            </w:r>
          </w:p>
        </w:tc>
      </w:tr>
    </w:tbl>
    <w:p/>
    <w:p>
      <w:pPr>
        <w:pStyle w:val="Caption"/>
      </w:pPr>
      <w:r>
        <w:t>Panel B. Anchor and nearest-neighbour records. H/L denote high/low prediction strata. Cosine similarity is to the anchor; anchor values equal 1. The complete CSV additionally includes report excerpts, slide-to-patient-mean distance, patient slide count and explicit provenance/interpretability warnings.</w:t>
      </w:r>
    </w:p>
    <w:tbl>
      <w:tblPr>
        <w:tblStyle w:val="TableGrid"/>
        <w:tblW w:type="auto" w:w="0"/>
        <w:jc w:val="center"/>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cantSplit/>
        </w:trPr>
        <w:tc>
          <w:tcPr>
            <w:tcW w:type="dxa" w:w="2381"/>
          </w:tcPr>
          <w:p>
            <w:r>
              <w:rPr>
                <w:b/>
                <w:sz w:val="17"/>
              </w:rPr>
              <w:t>Model</w:t>
            </w:r>
          </w:p>
        </w:tc>
        <w:tc>
          <w:tcPr>
            <w:tcW w:type="dxa" w:w="1814"/>
          </w:tcPr>
          <w:p>
            <w:r>
              <w:rPr>
                <w:b/>
                <w:sz w:val="17"/>
              </w:rPr>
              <w:t>Stratum/role</w:t>
            </w:r>
          </w:p>
        </w:tc>
        <w:tc>
          <w:tcPr>
            <w:tcW w:type="dxa" w:w="1701"/>
          </w:tcPr>
          <w:p>
            <w:r>
              <w:rPr>
                <w:b/>
                <w:sz w:val="17"/>
              </w:rPr>
              <w:t>Patient</w:t>
            </w:r>
          </w:p>
        </w:tc>
        <w:tc>
          <w:tcPr>
            <w:tcW w:type="dxa" w:w="4535"/>
          </w:tcPr>
          <w:p>
            <w:r>
              <w:rPr>
                <w:b/>
                <w:sz w:val="17"/>
              </w:rPr>
              <w:t>Representative slide</w:t>
            </w:r>
          </w:p>
        </w:tc>
        <w:tc>
          <w:tcPr>
            <w:tcW w:type="dxa" w:w="1247"/>
          </w:tcPr>
          <w:p>
            <w:r>
              <w:rPr>
                <w:b/>
                <w:sz w:val="17"/>
              </w:rPr>
              <w:t>Observed</w:t>
            </w:r>
          </w:p>
        </w:tc>
        <w:tc>
          <w:tcPr>
            <w:tcW w:type="dxa" w:w="1361"/>
          </w:tcPr>
          <w:p>
            <w:r>
              <w:rPr>
                <w:b/>
                <w:sz w:val="17"/>
              </w:rPr>
              <w:t>Prediction</w:t>
            </w:r>
          </w:p>
        </w:tc>
        <w:tc>
          <w:tcPr>
            <w:tcW w:type="dxa" w:w="1474"/>
          </w:tcPr>
          <w:p>
            <w:r>
              <w:rPr>
                <w:b/>
                <w:sz w:val="17"/>
              </w:rPr>
              <w:t>Prediction rank</w:t>
            </w:r>
          </w:p>
        </w:tc>
        <w:tc>
          <w:tcPr>
            <w:tcW w:type="dxa" w:w="1134"/>
          </w:tcPr>
          <w:p>
            <w:r>
              <w:rPr>
                <w:b/>
                <w:sz w:val="17"/>
              </w:rPr>
              <w:t>Cosine</w:t>
            </w:r>
          </w:p>
        </w:tc>
        <w:tc>
          <w:tcPr>
            <w:tcW w:type="dxa" w:w="3969"/>
          </w:tcPr>
          <w:p>
            <w:r>
              <w:rPr>
                <w:b/>
                <w:sz w:val="17"/>
              </w:rPr>
              <w:t>Generated-report terms</w:t>
            </w:r>
          </w:p>
        </w:tc>
      </w:tr>
      <w:tr>
        <w:trPr>
          <w:cantSplit/>
        </w:trPr>
        <w:tc>
          <w:tcPr>
            <w:tcW w:type="dxa" w:w="2381"/>
            <w:vAlign w:val="center"/>
          </w:tcPr>
          <w:p>
            <w:r>
              <w:rPr>
                <w:sz w:val="16"/>
              </w:rPr>
              <w:t>BLCA–TIL Regional Fraction</w:t>
            </w:r>
          </w:p>
        </w:tc>
        <w:tc>
          <w:tcPr>
            <w:tcW w:type="dxa" w:w="1814"/>
            <w:vAlign w:val="center"/>
          </w:tcPr>
          <w:p>
            <w:r>
              <w:rPr>
                <w:sz w:val="16"/>
              </w:rPr>
              <w:t>high/anchor</w:t>
            </w:r>
          </w:p>
        </w:tc>
        <w:tc>
          <w:tcPr>
            <w:tcW w:type="dxa" w:w="1701"/>
            <w:vAlign w:val="center"/>
          </w:tcPr>
          <w:p>
            <w:r>
              <w:rPr>
                <w:sz w:val="16"/>
              </w:rPr>
              <w:t>TCGA-FD-A5BS</w:t>
            </w:r>
          </w:p>
        </w:tc>
        <w:tc>
          <w:tcPr>
            <w:tcW w:type="dxa" w:w="4535"/>
            <w:vAlign w:val="center"/>
          </w:tcPr>
          <w:p>
            <w:r>
              <w:rPr>
                <w:sz w:val="16"/>
              </w:rPr>
              <w:t>TCGA-FD-A5BS-01Z-00-DX1.A7155CEB-37C9-4AD2-B229-B76F18814585</w:t>
            </w:r>
          </w:p>
        </w:tc>
        <w:tc>
          <w:tcPr>
            <w:tcW w:type="dxa" w:w="1247"/>
            <w:vAlign w:val="center"/>
          </w:tcPr>
          <w:p>
            <w:r>
              <w:rPr>
                <w:sz w:val="16"/>
              </w:rPr>
              <w:t>20.6511</w:t>
            </w:r>
          </w:p>
        </w:tc>
        <w:tc>
          <w:tcPr>
            <w:tcW w:type="dxa" w:w="1361"/>
            <w:vAlign w:val="center"/>
          </w:tcPr>
          <w:p>
            <w:r>
              <w:rPr>
                <w:sz w:val="16"/>
              </w:rPr>
              <w:t>23.1239</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lymphoid/inflammatory infiltrate;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high/nearest neighbour</w:t>
            </w:r>
          </w:p>
        </w:tc>
        <w:tc>
          <w:tcPr>
            <w:tcW w:type="dxa" w:w="1701"/>
            <w:vAlign w:val="center"/>
          </w:tcPr>
          <w:p>
            <w:r>
              <w:rPr>
                <w:sz w:val="16"/>
              </w:rPr>
              <w:t>TCGA-K4-A5RJ</w:t>
            </w:r>
          </w:p>
        </w:tc>
        <w:tc>
          <w:tcPr>
            <w:tcW w:type="dxa" w:w="4535"/>
            <w:vAlign w:val="center"/>
          </w:tcPr>
          <w:p>
            <w:r>
              <w:rPr>
                <w:sz w:val="16"/>
              </w:rPr>
              <w:t>TCGA-K4-A5RJ-01Z-00-DX1.DFDDA8B5-E80F-4BF9-87E3-EA75E294ABF5</w:t>
            </w:r>
          </w:p>
        </w:tc>
        <w:tc>
          <w:tcPr>
            <w:tcW w:type="dxa" w:w="1247"/>
            <w:vAlign w:val="center"/>
          </w:tcPr>
          <w:p>
            <w:r>
              <w:rPr>
                <w:sz w:val="16"/>
              </w:rPr>
              <w:t>25.7771</w:t>
            </w:r>
          </w:p>
        </w:tc>
        <w:tc>
          <w:tcPr>
            <w:tcW w:type="dxa" w:w="1361"/>
            <w:vAlign w:val="center"/>
          </w:tcPr>
          <w:p>
            <w:r>
              <w:rPr>
                <w:sz w:val="16"/>
              </w:rPr>
              <w:t>18.8606</w:t>
            </w:r>
          </w:p>
        </w:tc>
        <w:tc>
          <w:tcPr>
            <w:tcW w:type="dxa" w:w="1474"/>
            <w:vAlign w:val="center"/>
          </w:tcPr>
          <w:p>
            <w:r>
              <w:rPr>
                <w:sz w:val="16"/>
              </w:rPr>
              <w:t>0.983</w:t>
            </w:r>
          </w:p>
        </w:tc>
        <w:tc>
          <w:tcPr>
            <w:tcW w:type="dxa" w:w="1134"/>
            <w:vAlign w:val="center"/>
          </w:tcPr>
          <w:p>
            <w:r>
              <w:rPr>
                <w:sz w:val="16"/>
              </w:rPr>
              <w:t>0.923</w:t>
            </w:r>
          </w:p>
        </w:tc>
        <w:tc>
          <w:tcPr>
            <w:tcW w:type="dxa" w:w="3969"/>
            <w:vAlign w:val="center"/>
          </w:tcPr>
          <w:p>
            <w:r>
              <w:rPr>
                <w:sz w:val="16"/>
              </w:rPr>
              <w:t>papillary; squamous/keratinising; 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low/anchor</w:t>
            </w:r>
          </w:p>
        </w:tc>
        <w:tc>
          <w:tcPr>
            <w:tcW w:type="dxa" w:w="1701"/>
            <w:vAlign w:val="center"/>
          </w:tcPr>
          <w:p>
            <w:r>
              <w:rPr>
                <w:sz w:val="16"/>
              </w:rPr>
              <w:t>TCGA-BL-A0C8</w:t>
            </w:r>
          </w:p>
        </w:tc>
        <w:tc>
          <w:tcPr>
            <w:tcW w:type="dxa" w:w="4535"/>
            <w:vAlign w:val="center"/>
          </w:tcPr>
          <w:p>
            <w:r>
              <w:rPr>
                <w:sz w:val="16"/>
              </w:rPr>
              <w:t>TCGA-BL-A0C8-01Z-00-DX2.1D788C7B-801F-4957-B1DE-43DCAA82A16A</w:t>
            </w:r>
          </w:p>
        </w:tc>
        <w:tc>
          <w:tcPr>
            <w:tcW w:type="dxa" w:w="1247"/>
            <w:vAlign w:val="center"/>
          </w:tcPr>
          <w:p>
            <w:r>
              <w:rPr>
                <w:sz w:val="16"/>
              </w:rPr>
              <w:t>0.0199</w:t>
            </w:r>
          </w:p>
        </w:tc>
        <w:tc>
          <w:tcPr>
            <w:tcW w:type="dxa" w:w="1361"/>
            <w:vAlign w:val="center"/>
          </w:tcPr>
          <w:p>
            <w:r>
              <w:rPr>
                <w:sz w:val="16"/>
              </w:rPr>
              <w:t>-6.6838</w:t>
            </w:r>
          </w:p>
        </w:tc>
        <w:tc>
          <w:tcPr>
            <w:tcW w:type="dxa" w:w="1474"/>
            <w:vAlign w:val="center"/>
          </w:tcPr>
          <w:p>
            <w:r>
              <w:rPr>
                <w:sz w:val="16"/>
              </w:rPr>
              <w:t>0.003</w:t>
            </w:r>
          </w:p>
        </w:tc>
        <w:tc>
          <w:tcPr>
            <w:tcW w:type="dxa" w:w="1134"/>
            <w:vAlign w:val="center"/>
          </w:tcPr>
          <w:p>
            <w:r>
              <w:rPr>
                <w:sz w:val="16"/>
              </w:rPr>
              <w:t>1.000</w:t>
            </w:r>
          </w:p>
        </w:tc>
        <w:tc>
          <w:tcPr>
            <w:tcW w:type="dxa" w:w="3969"/>
            <w:vAlign w:val="center"/>
          </w:tcPr>
          <w:p>
            <w:r>
              <w:rPr>
                <w:sz w:val="16"/>
              </w:rPr>
              <w:t>high-grade/poorly differentiated</w:t>
            </w:r>
          </w:p>
        </w:tc>
      </w:tr>
      <w:tr>
        <w:trPr>
          <w:cantSplit/>
        </w:trPr>
        <w:tc>
          <w:tcPr>
            <w:tcW w:type="dxa" w:w="2381"/>
            <w:vAlign w:val="center"/>
          </w:tcPr>
          <w:p>
            <w:r>
              <w:rPr>
                <w:sz w:val="16"/>
              </w:rPr>
              <w:t>BLCA–TIL Regional Fraction</w:t>
            </w:r>
          </w:p>
        </w:tc>
        <w:tc>
          <w:tcPr>
            <w:tcW w:type="dxa" w:w="1814"/>
            <w:vAlign w:val="center"/>
          </w:tcPr>
          <w:p>
            <w:r>
              <w:rPr>
                <w:sz w:val="16"/>
              </w:rPr>
              <w:t>low/nearest neighbour</w:t>
            </w:r>
          </w:p>
        </w:tc>
        <w:tc>
          <w:tcPr>
            <w:tcW w:type="dxa" w:w="1701"/>
            <w:vAlign w:val="center"/>
          </w:tcPr>
          <w:p>
            <w:r>
              <w:rPr>
                <w:sz w:val="16"/>
              </w:rPr>
              <w:t>TCGA-E7-A5KE</w:t>
            </w:r>
          </w:p>
        </w:tc>
        <w:tc>
          <w:tcPr>
            <w:tcW w:type="dxa" w:w="4535"/>
            <w:vAlign w:val="center"/>
          </w:tcPr>
          <w:p>
            <w:r>
              <w:rPr>
                <w:sz w:val="16"/>
              </w:rPr>
              <w:t>TCGA-E7-A5KE-01Z-00-DX1.BDCD4071-5EE5-4863-A722-DAA32F3A7FB4</w:t>
            </w:r>
          </w:p>
        </w:tc>
        <w:tc>
          <w:tcPr>
            <w:tcW w:type="dxa" w:w="1247"/>
            <w:vAlign w:val="center"/>
          </w:tcPr>
          <w:p>
            <w:r>
              <w:rPr>
                <w:sz w:val="16"/>
              </w:rPr>
              <w:t>0.3344</w:t>
            </w:r>
          </w:p>
        </w:tc>
        <w:tc>
          <w:tcPr>
            <w:tcW w:type="dxa" w:w="1361"/>
            <w:vAlign w:val="center"/>
          </w:tcPr>
          <w:p>
            <w:r>
              <w:rPr>
                <w:sz w:val="16"/>
              </w:rPr>
              <w:t>-0.1219</w:t>
            </w:r>
          </w:p>
        </w:tc>
        <w:tc>
          <w:tcPr>
            <w:tcW w:type="dxa" w:w="1474"/>
            <w:vAlign w:val="center"/>
          </w:tcPr>
          <w:p>
            <w:r>
              <w:rPr>
                <w:sz w:val="16"/>
              </w:rPr>
              <w:t>0.051</w:t>
            </w:r>
          </w:p>
        </w:tc>
        <w:tc>
          <w:tcPr>
            <w:tcW w:type="dxa" w:w="1134"/>
            <w:vAlign w:val="center"/>
          </w:tcPr>
          <w:p>
            <w:r>
              <w:rPr>
                <w:sz w:val="16"/>
              </w:rPr>
              <w:t>0.737</w:t>
            </w:r>
          </w:p>
        </w:tc>
        <w:tc>
          <w:tcPr>
            <w:tcW w:type="dxa" w:w="3969"/>
            <w:vAlign w:val="center"/>
          </w:tcPr>
          <w:p>
            <w:r>
              <w:rPr>
                <w:sz w:val="16"/>
              </w:rPr>
              <w:t>high-grade/poorly differentiated</w:t>
            </w:r>
          </w:p>
        </w:tc>
      </w:tr>
      <w:tr>
        <w:trPr>
          <w:cantSplit/>
        </w:trPr>
        <w:tc>
          <w:tcPr>
            <w:tcW w:type="dxa" w:w="2381"/>
            <w:vAlign w:val="center"/>
          </w:tcPr>
          <w:p>
            <w:r>
              <w:rPr>
                <w:sz w:val="16"/>
              </w:rPr>
              <w:t>TGCT–Macrophages M2</w:t>
            </w:r>
          </w:p>
        </w:tc>
        <w:tc>
          <w:tcPr>
            <w:tcW w:type="dxa" w:w="1814"/>
            <w:vAlign w:val="center"/>
          </w:tcPr>
          <w:p>
            <w:r>
              <w:rPr>
                <w:sz w:val="16"/>
              </w:rPr>
              <w:t>high/anchor</w:t>
            </w:r>
          </w:p>
        </w:tc>
        <w:tc>
          <w:tcPr>
            <w:tcW w:type="dxa" w:w="1701"/>
            <w:vAlign w:val="center"/>
          </w:tcPr>
          <w:p>
            <w:r>
              <w:rPr>
                <w:sz w:val="16"/>
              </w:rPr>
              <w:t>TCGA-YU-A94D</w:t>
            </w:r>
          </w:p>
        </w:tc>
        <w:tc>
          <w:tcPr>
            <w:tcW w:type="dxa" w:w="4535"/>
            <w:vAlign w:val="center"/>
          </w:tcPr>
          <w:p>
            <w:r>
              <w:rPr>
                <w:sz w:val="16"/>
              </w:rPr>
              <w:t>TCGA-YU-A94D-01Z-00-DX1.9B1832C3-F7CA-410A-AC74-28FCB282D05D</w:t>
            </w:r>
          </w:p>
        </w:tc>
        <w:tc>
          <w:tcPr>
            <w:tcW w:type="dxa" w:w="1247"/>
            <w:vAlign w:val="center"/>
          </w:tcPr>
          <w:p>
            <w:r>
              <w:rPr>
                <w:sz w:val="16"/>
              </w:rPr>
              <w:t>0.4327</w:t>
            </w:r>
          </w:p>
        </w:tc>
        <w:tc>
          <w:tcPr>
            <w:tcW w:type="dxa" w:w="1361"/>
            <w:vAlign w:val="center"/>
          </w:tcPr>
          <w:p>
            <w:r>
              <w:rPr>
                <w:sz w:val="16"/>
              </w:rPr>
              <w:t>0.3316</w:t>
            </w:r>
          </w:p>
        </w:tc>
        <w:tc>
          <w:tcPr>
            <w:tcW w:type="dxa" w:w="1474"/>
            <w:vAlign w:val="center"/>
          </w:tcPr>
          <w:p>
            <w:r>
              <w:rPr>
                <w:sz w:val="16"/>
              </w:rPr>
              <w:t>0.932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high/nearest neighbour</w:t>
            </w:r>
          </w:p>
        </w:tc>
        <w:tc>
          <w:tcPr>
            <w:tcW w:type="dxa" w:w="1701"/>
            <w:vAlign w:val="center"/>
          </w:tcPr>
          <w:p>
            <w:r>
              <w:rPr>
                <w:sz w:val="16"/>
              </w:rPr>
              <w:t>TCGA-W4-A7U3</w:t>
            </w:r>
          </w:p>
        </w:tc>
        <w:tc>
          <w:tcPr>
            <w:tcW w:type="dxa" w:w="4535"/>
            <w:vAlign w:val="center"/>
          </w:tcPr>
          <w:p>
            <w:r>
              <w:rPr>
                <w:sz w:val="16"/>
              </w:rPr>
              <w:t>TCGA-W4-A7U3-01Z-00-DX1.C7948BAA-2AEE-4EBC-B9E8-8D14B649B50D</w:t>
            </w:r>
          </w:p>
        </w:tc>
        <w:tc>
          <w:tcPr>
            <w:tcW w:type="dxa" w:w="1247"/>
            <w:vAlign w:val="center"/>
          </w:tcPr>
          <w:p>
            <w:r>
              <w:rPr>
                <w:sz w:val="16"/>
              </w:rPr>
              <w:t>0.3326</w:t>
            </w:r>
          </w:p>
        </w:tc>
        <w:tc>
          <w:tcPr>
            <w:tcW w:type="dxa" w:w="1361"/>
            <w:vAlign w:val="center"/>
          </w:tcPr>
          <w:p>
            <w:r>
              <w:rPr>
                <w:sz w:val="16"/>
              </w:rPr>
              <w:t>0.3102</w:t>
            </w:r>
          </w:p>
        </w:tc>
        <w:tc>
          <w:tcPr>
            <w:tcW w:type="dxa" w:w="1474"/>
            <w:vAlign w:val="center"/>
          </w:tcPr>
          <w:p>
            <w:r>
              <w:rPr>
                <w:sz w:val="16"/>
              </w:rPr>
              <w:t>0.878</w:t>
            </w:r>
          </w:p>
        </w:tc>
        <w:tc>
          <w:tcPr>
            <w:tcW w:type="dxa" w:w="1134"/>
            <w:vAlign w:val="center"/>
          </w:tcPr>
          <w:p>
            <w:r>
              <w:rPr>
                <w:sz w:val="16"/>
              </w:rPr>
              <w:t>0.767</w:t>
            </w:r>
          </w:p>
        </w:tc>
        <w:tc>
          <w:tcPr>
            <w:tcW w:type="dxa" w:w="3969"/>
            <w:vAlign w:val="center"/>
          </w:tcPr>
          <w:p>
            <w:r>
              <w:rPr>
                <w:sz w:val="16"/>
              </w:rPr>
              <w:t>glandular/tubular</w:t>
            </w:r>
          </w:p>
        </w:tc>
      </w:tr>
      <w:tr>
        <w:trPr>
          <w:cantSplit/>
        </w:trPr>
        <w:tc>
          <w:tcPr>
            <w:tcW w:type="dxa" w:w="2381"/>
            <w:vAlign w:val="center"/>
          </w:tcPr>
          <w:p>
            <w:r>
              <w:rPr>
                <w:sz w:val="16"/>
              </w:rPr>
              <w:t>TGCT–Macrophages M2</w:t>
            </w:r>
          </w:p>
        </w:tc>
        <w:tc>
          <w:tcPr>
            <w:tcW w:type="dxa" w:w="1814"/>
            <w:vAlign w:val="center"/>
          </w:tcPr>
          <w:p>
            <w:r>
              <w:rPr>
                <w:sz w:val="16"/>
              </w:rPr>
              <w:t>low/anchor</w:t>
            </w:r>
          </w:p>
        </w:tc>
        <w:tc>
          <w:tcPr>
            <w:tcW w:type="dxa" w:w="1701"/>
            <w:vAlign w:val="center"/>
          </w:tcPr>
          <w:p>
            <w:r>
              <w:rPr>
                <w:sz w:val="16"/>
              </w:rPr>
              <w:t>TCGA-2G-AAF6</w:t>
            </w:r>
          </w:p>
        </w:tc>
        <w:tc>
          <w:tcPr>
            <w:tcW w:type="dxa" w:w="4535"/>
            <w:vAlign w:val="center"/>
          </w:tcPr>
          <w:p>
            <w:r>
              <w:rPr>
                <w:sz w:val="16"/>
              </w:rPr>
              <w:t>TCGA-2G-AAF6-01Z-00-DX1.B353A681-7F69-449B-99EB-9E3C63E8693A</w:t>
            </w:r>
          </w:p>
        </w:tc>
        <w:tc>
          <w:tcPr>
            <w:tcW w:type="dxa" w:w="1247"/>
            <w:vAlign w:val="center"/>
          </w:tcPr>
          <w:p>
            <w:r>
              <w:rPr>
                <w:sz w:val="16"/>
              </w:rPr>
              <w:t>0.0792</w:t>
            </w:r>
          </w:p>
        </w:tc>
        <w:tc>
          <w:tcPr>
            <w:tcW w:type="dxa" w:w="1361"/>
            <w:vAlign w:val="center"/>
          </w:tcPr>
          <w:p>
            <w:r>
              <w:rPr>
                <w:sz w:val="16"/>
              </w:rPr>
              <w:t>0.0518</w:t>
            </w:r>
          </w:p>
        </w:tc>
        <w:tc>
          <w:tcPr>
            <w:tcW w:type="dxa" w:w="1474"/>
            <w:vAlign w:val="center"/>
          </w:tcPr>
          <w:p>
            <w:r>
              <w:rPr>
                <w:sz w:val="16"/>
              </w:rPr>
              <w:t>0.020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TGCT–Macrophages M2</w:t>
            </w:r>
          </w:p>
        </w:tc>
        <w:tc>
          <w:tcPr>
            <w:tcW w:type="dxa" w:w="1814"/>
            <w:vAlign w:val="center"/>
          </w:tcPr>
          <w:p>
            <w:r>
              <w:rPr>
                <w:sz w:val="16"/>
              </w:rPr>
              <w:t>low/nearest neighbour</w:t>
            </w:r>
          </w:p>
        </w:tc>
        <w:tc>
          <w:tcPr>
            <w:tcW w:type="dxa" w:w="1701"/>
            <w:vAlign w:val="center"/>
          </w:tcPr>
          <w:p>
            <w:r>
              <w:rPr>
                <w:sz w:val="16"/>
              </w:rPr>
              <w:t>TCGA-2G-AAEW</w:t>
            </w:r>
          </w:p>
        </w:tc>
        <w:tc>
          <w:tcPr>
            <w:tcW w:type="dxa" w:w="4535"/>
            <w:vAlign w:val="center"/>
          </w:tcPr>
          <w:p>
            <w:r>
              <w:rPr>
                <w:sz w:val="16"/>
              </w:rPr>
              <w:t>TCGA-2G-AAEW-01Z-00-DX1.82DE89BF-C648-409C-A661-32AD5C0E4775</w:t>
            </w:r>
          </w:p>
        </w:tc>
        <w:tc>
          <w:tcPr>
            <w:tcW w:type="dxa" w:w="1247"/>
            <w:vAlign w:val="center"/>
          </w:tcPr>
          <w:p>
            <w:r>
              <w:rPr>
                <w:sz w:val="16"/>
              </w:rPr>
              <w:t>0.0827</w:t>
            </w:r>
          </w:p>
        </w:tc>
        <w:tc>
          <w:tcPr>
            <w:tcW w:type="dxa" w:w="1361"/>
            <w:vAlign w:val="center"/>
          </w:tcPr>
          <w:p>
            <w:r>
              <w:rPr>
                <w:sz w:val="16"/>
              </w:rPr>
              <w:t>0.0802</w:t>
            </w:r>
          </w:p>
        </w:tc>
        <w:tc>
          <w:tcPr>
            <w:tcW w:type="dxa" w:w="1474"/>
            <w:vAlign w:val="center"/>
          </w:tcPr>
          <w:p>
            <w:r>
              <w:rPr>
                <w:sz w:val="16"/>
              </w:rPr>
              <w:t>0.081</w:t>
            </w:r>
          </w:p>
        </w:tc>
        <w:tc>
          <w:tcPr>
            <w:tcW w:type="dxa" w:w="1134"/>
            <w:vAlign w:val="center"/>
          </w:tcPr>
          <w:p>
            <w:r>
              <w:rPr>
                <w:sz w:val="16"/>
              </w:rPr>
              <w:t>0.918</w:t>
            </w:r>
          </w:p>
        </w:tc>
        <w:tc>
          <w:tcPr>
            <w:tcW w:type="dxa" w:w="3969"/>
            <w:vAlign w:val="center"/>
          </w:tcPr>
          <w:p>
            <w:r>
              <w:rPr>
                <w:sz w:val="16"/>
              </w:rPr>
              <w:t>none of the prespecified report terms</w:t>
            </w:r>
          </w:p>
        </w:tc>
      </w:tr>
      <w:tr>
        <w:trPr>
          <w:cantSplit/>
        </w:trPr>
        <w:tc>
          <w:tcPr>
            <w:tcW w:type="dxa" w:w="2381"/>
            <w:vAlign w:val="center"/>
          </w:tcPr>
          <w:p>
            <w:r>
              <w:rPr>
                <w:sz w:val="16"/>
              </w:rPr>
              <w:t>BRCA–Wound Healing</w:t>
            </w:r>
          </w:p>
        </w:tc>
        <w:tc>
          <w:tcPr>
            <w:tcW w:type="dxa" w:w="1814"/>
            <w:vAlign w:val="center"/>
          </w:tcPr>
          <w:p>
            <w:r>
              <w:rPr>
                <w:sz w:val="16"/>
              </w:rPr>
              <w:t>high/anchor</w:t>
            </w:r>
          </w:p>
        </w:tc>
        <w:tc>
          <w:tcPr>
            <w:tcW w:type="dxa" w:w="1701"/>
            <w:vAlign w:val="center"/>
          </w:tcPr>
          <w:p>
            <w:r>
              <w:rPr>
                <w:sz w:val="16"/>
              </w:rPr>
              <w:t>TCGA-AR-A1AH</w:t>
            </w:r>
          </w:p>
        </w:tc>
        <w:tc>
          <w:tcPr>
            <w:tcW w:type="dxa" w:w="4535"/>
            <w:vAlign w:val="center"/>
          </w:tcPr>
          <w:p>
            <w:r>
              <w:rPr>
                <w:sz w:val="16"/>
              </w:rPr>
              <w:t>TCGA-AR-A1AH-01Z-00-DX1.5D5D7774-77BB-4EA0-9E8E-A8D28F70A575</w:t>
            </w:r>
          </w:p>
        </w:tc>
        <w:tc>
          <w:tcPr>
            <w:tcW w:type="dxa" w:w="1247"/>
            <w:vAlign w:val="center"/>
          </w:tcPr>
          <w:p>
            <w:r>
              <w:rPr>
                <w:sz w:val="16"/>
              </w:rPr>
              <w:t>0.2475</w:t>
            </w:r>
          </w:p>
        </w:tc>
        <w:tc>
          <w:tcPr>
            <w:tcW w:type="dxa" w:w="1361"/>
            <w:vAlign w:val="center"/>
          </w:tcPr>
          <w:p>
            <w:r>
              <w:rPr>
                <w:sz w:val="16"/>
              </w:rPr>
              <w:t>0.3821</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desmoplastic/stromal</w:t>
            </w:r>
          </w:p>
        </w:tc>
      </w:tr>
      <w:tr>
        <w:trPr>
          <w:cantSplit/>
        </w:trPr>
        <w:tc>
          <w:tcPr>
            <w:tcW w:type="dxa" w:w="2381"/>
            <w:vAlign w:val="center"/>
          </w:tcPr>
          <w:p>
            <w:r>
              <w:rPr>
                <w:sz w:val="16"/>
              </w:rPr>
              <w:t>BRCA–Wound Healing</w:t>
            </w:r>
          </w:p>
        </w:tc>
        <w:tc>
          <w:tcPr>
            <w:tcW w:type="dxa" w:w="1814"/>
            <w:vAlign w:val="center"/>
          </w:tcPr>
          <w:p>
            <w:r>
              <w:rPr>
                <w:sz w:val="16"/>
              </w:rPr>
              <w:t>high/nearest neighbour</w:t>
            </w:r>
          </w:p>
        </w:tc>
        <w:tc>
          <w:tcPr>
            <w:tcW w:type="dxa" w:w="1701"/>
            <w:vAlign w:val="center"/>
          </w:tcPr>
          <w:p>
            <w:r>
              <w:rPr>
                <w:sz w:val="16"/>
              </w:rPr>
              <w:t>TCGA-HN-A2NL</w:t>
            </w:r>
          </w:p>
        </w:tc>
        <w:tc>
          <w:tcPr>
            <w:tcW w:type="dxa" w:w="4535"/>
            <w:vAlign w:val="center"/>
          </w:tcPr>
          <w:p>
            <w:r>
              <w:rPr>
                <w:sz w:val="16"/>
              </w:rPr>
              <w:t>TCGA-HN-A2NL-01Z-00-DX1.C2EAF378-4B37-4C1C-BB0F-18FAC62EEC13</w:t>
            </w:r>
          </w:p>
        </w:tc>
        <w:tc>
          <w:tcPr>
            <w:tcW w:type="dxa" w:w="1247"/>
            <w:vAlign w:val="center"/>
          </w:tcPr>
          <w:p>
            <w:r>
              <w:rPr>
                <w:sz w:val="16"/>
              </w:rPr>
              <w:t>0.3450</w:t>
            </w:r>
          </w:p>
        </w:tc>
        <w:tc>
          <w:tcPr>
            <w:tcW w:type="dxa" w:w="1361"/>
            <w:vAlign w:val="center"/>
          </w:tcPr>
          <w:p>
            <w:r>
              <w:rPr>
                <w:sz w:val="16"/>
              </w:rPr>
              <w:t>0.3292</w:t>
            </w:r>
          </w:p>
        </w:tc>
        <w:tc>
          <w:tcPr>
            <w:tcW w:type="dxa" w:w="1474"/>
            <w:vAlign w:val="center"/>
          </w:tcPr>
          <w:p>
            <w:r>
              <w:rPr>
                <w:sz w:val="16"/>
              </w:rPr>
              <w:t>0.996</w:t>
            </w:r>
          </w:p>
        </w:tc>
        <w:tc>
          <w:tcPr>
            <w:tcW w:type="dxa" w:w="1134"/>
            <w:vAlign w:val="center"/>
          </w:tcPr>
          <w:p>
            <w:r>
              <w:rPr>
                <w:sz w:val="16"/>
              </w:rPr>
              <w:t>0.825</w:t>
            </w:r>
          </w:p>
        </w:tc>
        <w:tc>
          <w:tcPr>
            <w:tcW w:type="dxa" w:w="3969"/>
            <w:vAlign w:val="center"/>
          </w:tcPr>
          <w:p>
            <w:r>
              <w:rPr>
                <w:sz w:val="16"/>
              </w:rPr>
              <w:t>high-grade/poorly differentiated</w:t>
            </w:r>
          </w:p>
        </w:tc>
      </w:tr>
      <w:tr>
        <w:trPr>
          <w:cantSplit/>
        </w:trPr>
        <w:tc>
          <w:tcPr>
            <w:tcW w:type="dxa" w:w="2381"/>
            <w:vAlign w:val="center"/>
          </w:tcPr>
          <w:p>
            <w:r>
              <w:rPr>
                <w:sz w:val="16"/>
              </w:rPr>
              <w:t>BRCA–Wound Healing</w:t>
            </w:r>
          </w:p>
        </w:tc>
        <w:tc>
          <w:tcPr>
            <w:tcW w:type="dxa" w:w="1814"/>
            <w:vAlign w:val="center"/>
          </w:tcPr>
          <w:p>
            <w:r>
              <w:rPr>
                <w:sz w:val="16"/>
              </w:rPr>
              <w:t>low/anchor</w:t>
            </w:r>
          </w:p>
        </w:tc>
        <w:tc>
          <w:tcPr>
            <w:tcW w:type="dxa" w:w="1701"/>
            <w:vAlign w:val="center"/>
          </w:tcPr>
          <w:p>
            <w:r>
              <w:rPr>
                <w:sz w:val="16"/>
              </w:rPr>
              <w:t>TCGA-E9-A5UO</w:t>
            </w:r>
          </w:p>
        </w:tc>
        <w:tc>
          <w:tcPr>
            <w:tcW w:type="dxa" w:w="4535"/>
            <w:vAlign w:val="center"/>
          </w:tcPr>
          <w:p>
            <w:r>
              <w:rPr>
                <w:sz w:val="16"/>
              </w:rPr>
              <w:t>TCGA-E9-A5UO-01Z-00-DX1.96BFEB0C-86DB-4D3B-9364-C708937219B2</w:t>
            </w:r>
          </w:p>
        </w:tc>
        <w:tc>
          <w:tcPr>
            <w:tcW w:type="dxa" w:w="1247"/>
            <w:vAlign w:val="center"/>
          </w:tcPr>
          <w:p>
            <w:r>
              <w:rPr>
                <w:sz w:val="16"/>
              </w:rPr>
              <w:t>-0.1290</w:t>
            </w:r>
          </w:p>
        </w:tc>
        <w:tc>
          <w:tcPr>
            <w:tcW w:type="dxa" w:w="1361"/>
            <w:vAlign w:val="center"/>
          </w:tcPr>
          <w:p>
            <w:r>
              <w:rPr>
                <w:sz w:val="16"/>
              </w:rPr>
              <w:t>-0.2589</w:t>
            </w:r>
          </w:p>
        </w:tc>
        <w:tc>
          <w:tcPr>
            <w:tcW w:type="dxa" w:w="1474"/>
            <w:vAlign w:val="center"/>
          </w:tcPr>
          <w:p>
            <w:r>
              <w:rPr>
                <w:sz w:val="16"/>
              </w:rPr>
              <w:t>0.001</w:t>
            </w:r>
          </w:p>
        </w:tc>
        <w:tc>
          <w:tcPr>
            <w:tcW w:type="dxa" w:w="1134"/>
            <w:vAlign w:val="center"/>
          </w:tcPr>
          <w:p>
            <w:r>
              <w:rPr>
                <w:sz w:val="16"/>
              </w:rPr>
              <w:t>1.000</w:t>
            </w:r>
          </w:p>
        </w:tc>
        <w:tc>
          <w:tcPr>
            <w:tcW w:type="dxa" w:w="3969"/>
            <w:vAlign w:val="center"/>
          </w:tcPr>
          <w:p>
            <w:r>
              <w:rPr>
                <w:sz w:val="16"/>
              </w:rPr>
              <w:t>mucinous</w:t>
            </w:r>
          </w:p>
        </w:tc>
      </w:tr>
      <w:tr>
        <w:trPr>
          <w:cantSplit/>
        </w:trPr>
        <w:tc>
          <w:tcPr>
            <w:tcW w:type="dxa" w:w="2381"/>
            <w:vAlign w:val="center"/>
          </w:tcPr>
          <w:p>
            <w:r>
              <w:rPr>
                <w:sz w:val="16"/>
              </w:rPr>
              <w:t>BRCA–Wound Healing</w:t>
            </w:r>
          </w:p>
        </w:tc>
        <w:tc>
          <w:tcPr>
            <w:tcW w:type="dxa" w:w="1814"/>
            <w:vAlign w:val="center"/>
          </w:tcPr>
          <w:p>
            <w:r>
              <w:rPr>
                <w:sz w:val="16"/>
              </w:rPr>
              <w:t>low/nearest neighbour</w:t>
            </w:r>
          </w:p>
        </w:tc>
        <w:tc>
          <w:tcPr>
            <w:tcW w:type="dxa" w:w="1701"/>
            <w:vAlign w:val="center"/>
          </w:tcPr>
          <w:p>
            <w:r>
              <w:rPr>
                <w:sz w:val="16"/>
              </w:rPr>
              <w:t>TCGA-AC-A8OR</w:t>
            </w:r>
          </w:p>
        </w:tc>
        <w:tc>
          <w:tcPr>
            <w:tcW w:type="dxa" w:w="4535"/>
            <w:vAlign w:val="center"/>
          </w:tcPr>
          <w:p>
            <w:r>
              <w:rPr>
                <w:sz w:val="16"/>
              </w:rPr>
              <w:t>TCGA-AC-A8OR-01Z-00-DX1.C9A35592-1E73-40D4-834A-46E3471D84A3</w:t>
            </w:r>
          </w:p>
        </w:tc>
        <w:tc>
          <w:tcPr>
            <w:tcW w:type="dxa" w:w="1247"/>
            <w:vAlign w:val="center"/>
          </w:tcPr>
          <w:p>
            <w:r>
              <w:rPr>
                <w:sz w:val="16"/>
              </w:rPr>
              <w:t>-0.1420</w:t>
            </w:r>
          </w:p>
        </w:tc>
        <w:tc>
          <w:tcPr>
            <w:tcW w:type="dxa" w:w="1361"/>
            <w:vAlign w:val="center"/>
          </w:tcPr>
          <w:p>
            <w:r>
              <w:rPr>
                <w:sz w:val="16"/>
              </w:rPr>
              <w:t>-0.1024</w:t>
            </w:r>
          </w:p>
        </w:tc>
        <w:tc>
          <w:tcPr>
            <w:tcW w:type="dxa" w:w="1474"/>
            <w:vAlign w:val="center"/>
          </w:tcPr>
          <w:p>
            <w:r>
              <w:rPr>
                <w:sz w:val="16"/>
              </w:rPr>
              <w:t>0.137</w:t>
            </w:r>
          </w:p>
        </w:tc>
        <w:tc>
          <w:tcPr>
            <w:tcW w:type="dxa" w:w="1134"/>
            <w:vAlign w:val="center"/>
          </w:tcPr>
          <w:p>
            <w:r>
              <w:rPr>
                <w:sz w:val="16"/>
              </w:rPr>
              <w:t>0.838</w:t>
            </w:r>
          </w:p>
        </w:tc>
        <w:tc>
          <w:tcPr>
            <w:tcW w:type="dxa" w:w="3969"/>
            <w:vAlign w:val="center"/>
          </w:tcPr>
          <w:p>
            <w:r>
              <w:rPr>
                <w:sz w:val="16"/>
              </w:rPr>
              <w:t>mucinous; low-grade/well differentiated</w:t>
            </w:r>
          </w:p>
        </w:tc>
      </w:tr>
      <w:tr>
        <w:trPr>
          <w:cantSplit/>
        </w:trPr>
        <w:tc>
          <w:tcPr>
            <w:tcW w:type="dxa" w:w="2381"/>
            <w:vAlign w:val="center"/>
          </w:tcPr>
          <w:p>
            <w:r>
              <w:rPr>
                <w:sz w:val="16"/>
              </w:rPr>
              <w:t>UCEC–Aneuploidy score</w:t>
            </w:r>
          </w:p>
        </w:tc>
        <w:tc>
          <w:tcPr>
            <w:tcW w:type="dxa" w:w="1814"/>
            <w:vAlign w:val="center"/>
          </w:tcPr>
          <w:p>
            <w:r>
              <w:rPr>
                <w:sz w:val="16"/>
              </w:rPr>
              <w:t>high/anchor</w:t>
            </w:r>
          </w:p>
        </w:tc>
        <w:tc>
          <w:tcPr>
            <w:tcW w:type="dxa" w:w="1701"/>
            <w:vAlign w:val="center"/>
          </w:tcPr>
          <w:p>
            <w:r>
              <w:rPr>
                <w:sz w:val="16"/>
              </w:rPr>
              <w:t>TCGA-AJ-A23M</w:t>
            </w:r>
          </w:p>
        </w:tc>
        <w:tc>
          <w:tcPr>
            <w:tcW w:type="dxa" w:w="4535"/>
            <w:vAlign w:val="center"/>
          </w:tcPr>
          <w:p>
            <w:r>
              <w:rPr>
                <w:sz w:val="16"/>
              </w:rPr>
              <w:t>TCGA-AJ-A23M-01Z-00-DX1.F2FD9BFC-8A07-4F62-AFFB-4A34329254AE</w:t>
            </w:r>
          </w:p>
        </w:tc>
        <w:tc>
          <w:tcPr>
            <w:tcW w:type="dxa" w:w="1247"/>
            <w:vAlign w:val="center"/>
          </w:tcPr>
          <w:p>
            <w:r>
              <w:rPr>
                <w:sz w:val="16"/>
              </w:rPr>
              <w:t>20.0000</w:t>
            </w:r>
          </w:p>
        </w:tc>
        <w:tc>
          <w:tcPr>
            <w:tcW w:type="dxa" w:w="1361"/>
            <w:vAlign w:val="center"/>
          </w:tcPr>
          <w:p>
            <w:r>
              <w:rPr>
                <w:sz w:val="16"/>
              </w:rPr>
              <w:t>19.2810</w:t>
            </w:r>
          </w:p>
        </w:tc>
        <w:tc>
          <w:tcPr>
            <w:tcW w:type="dxa" w:w="1474"/>
            <w:vAlign w:val="center"/>
          </w:tcPr>
          <w:p>
            <w:r>
              <w:rPr>
                <w:sz w:val="16"/>
              </w:rPr>
              <w:t>0.998</w:t>
            </w:r>
          </w:p>
        </w:tc>
        <w:tc>
          <w:tcPr>
            <w:tcW w:type="dxa" w:w="1134"/>
            <w:vAlign w:val="center"/>
          </w:tcPr>
          <w:p>
            <w:r>
              <w:rPr>
                <w:sz w:val="16"/>
              </w:rPr>
              <w:t>1.000</w:t>
            </w:r>
          </w:p>
        </w:tc>
        <w:tc>
          <w:tcPr>
            <w:tcW w:type="dxa" w:w="3969"/>
            <w:vAlign w:val="center"/>
          </w:tcPr>
          <w:p>
            <w:r>
              <w:rPr>
                <w:sz w:val="16"/>
              </w:rPr>
              <w:t>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high/nearest neighbour</w:t>
            </w:r>
          </w:p>
        </w:tc>
        <w:tc>
          <w:tcPr>
            <w:tcW w:type="dxa" w:w="1701"/>
            <w:vAlign w:val="center"/>
          </w:tcPr>
          <w:p>
            <w:r>
              <w:rPr>
                <w:sz w:val="16"/>
              </w:rPr>
              <w:t>TCGA-EY-A212</w:t>
            </w:r>
          </w:p>
        </w:tc>
        <w:tc>
          <w:tcPr>
            <w:tcW w:type="dxa" w:w="4535"/>
            <w:vAlign w:val="center"/>
          </w:tcPr>
          <w:p>
            <w:r>
              <w:rPr>
                <w:sz w:val="16"/>
              </w:rPr>
              <w:t>TCGA-EY-A212-01Z-00-DX1.948F98F8-1360-406F-AF7B-B30ED54114EC</w:t>
            </w:r>
          </w:p>
        </w:tc>
        <w:tc>
          <w:tcPr>
            <w:tcW w:type="dxa" w:w="1247"/>
            <w:vAlign w:val="center"/>
          </w:tcPr>
          <w:p>
            <w:r>
              <w:rPr>
                <w:sz w:val="16"/>
              </w:rPr>
              <w:t>5.0000</w:t>
            </w:r>
          </w:p>
        </w:tc>
        <w:tc>
          <w:tcPr>
            <w:tcW w:type="dxa" w:w="1361"/>
            <w:vAlign w:val="center"/>
          </w:tcPr>
          <w:p>
            <w:r>
              <w:rPr>
                <w:sz w:val="16"/>
              </w:rPr>
              <w:t>20.6984</w:t>
            </w:r>
          </w:p>
        </w:tc>
        <w:tc>
          <w:tcPr>
            <w:tcW w:type="dxa" w:w="1474"/>
            <w:vAlign w:val="center"/>
          </w:tcPr>
          <w:p>
            <w:r>
              <w:rPr>
                <w:sz w:val="16"/>
              </w:rPr>
              <w:t>1.000</w:t>
            </w:r>
          </w:p>
        </w:tc>
        <w:tc>
          <w:tcPr>
            <w:tcW w:type="dxa" w:w="1134"/>
            <w:vAlign w:val="center"/>
          </w:tcPr>
          <w:p>
            <w:r>
              <w:rPr>
                <w:sz w:val="16"/>
              </w:rPr>
              <w:t>0.836</w:t>
            </w:r>
          </w:p>
        </w:tc>
        <w:tc>
          <w:tcPr>
            <w:tcW w:type="dxa" w:w="3969"/>
            <w:vAlign w:val="center"/>
          </w:tcPr>
          <w:p>
            <w:r>
              <w:rPr>
                <w:sz w:val="16"/>
              </w:rPr>
              <w:t>desmoplastic/stromal; papillary; high-grade/poorly differentiated</w:t>
            </w:r>
          </w:p>
        </w:tc>
      </w:tr>
      <w:tr>
        <w:trPr>
          <w:cantSplit/>
        </w:trPr>
        <w:tc>
          <w:tcPr>
            <w:tcW w:type="dxa" w:w="2381"/>
            <w:vAlign w:val="center"/>
          </w:tcPr>
          <w:p>
            <w:r>
              <w:rPr>
                <w:sz w:val="16"/>
              </w:rPr>
              <w:t>UCEC–Aneuploidy score</w:t>
            </w:r>
          </w:p>
        </w:tc>
        <w:tc>
          <w:tcPr>
            <w:tcW w:type="dxa" w:w="1814"/>
            <w:vAlign w:val="center"/>
          </w:tcPr>
          <w:p>
            <w:r>
              <w:rPr>
                <w:sz w:val="16"/>
              </w:rPr>
              <w:t>low/anchor</w:t>
            </w:r>
          </w:p>
        </w:tc>
        <w:tc>
          <w:tcPr>
            <w:tcW w:type="dxa" w:w="1701"/>
            <w:vAlign w:val="center"/>
          </w:tcPr>
          <w:p>
            <w:r>
              <w:rPr>
                <w:sz w:val="16"/>
              </w:rPr>
              <w:t>TCGA-D1-A1NS</w:t>
            </w:r>
          </w:p>
        </w:tc>
        <w:tc>
          <w:tcPr>
            <w:tcW w:type="dxa" w:w="4535"/>
            <w:vAlign w:val="center"/>
          </w:tcPr>
          <w:p>
            <w:r>
              <w:rPr>
                <w:sz w:val="16"/>
              </w:rPr>
              <w:t>TCGA-D1-A1NS-01Z-00-DX1.9050E639-6F28-417C-9C42-6413962F6E3C</w:t>
            </w:r>
          </w:p>
        </w:tc>
        <w:tc>
          <w:tcPr>
            <w:tcW w:type="dxa" w:w="1247"/>
            <w:vAlign w:val="center"/>
          </w:tcPr>
          <w:p>
            <w:r>
              <w:rPr>
                <w:sz w:val="16"/>
              </w:rPr>
              <w:t>0.0000</w:t>
            </w:r>
          </w:p>
        </w:tc>
        <w:tc>
          <w:tcPr>
            <w:tcW w:type="dxa" w:w="1361"/>
            <w:vAlign w:val="center"/>
          </w:tcPr>
          <w:p>
            <w:r>
              <w:rPr>
                <w:sz w:val="16"/>
              </w:rPr>
              <w:t>-1.7225</w:t>
            </w:r>
          </w:p>
        </w:tc>
        <w:tc>
          <w:tcPr>
            <w:tcW w:type="dxa" w:w="1474"/>
            <w:vAlign w:val="center"/>
          </w:tcPr>
          <w:p>
            <w:r>
              <w:rPr>
                <w:sz w:val="16"/>
              </w:rPr>
              <w:t>0.002</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UCEC–Aneuploidy score</w:t>
            </w:r>
          </w:p>
        </w:tc>
        <w:tc>
          <w:tcPr>
            <w:tcW w:type="dxa" w:w="1814"/>
            <w:vAlign w:val="center"/>
          </w:tcPr>
          <w:p>
            <w:r>
              <w:rPr>
                <w:sz w:val="16"/>
              </w:rPr>
              <w:t>low/nearest neighbour</w:t>
            </w:r>
          </w:p>
        </w:tc>
        <w:tc>
          <w:tcPr>
            <w:tcW w:type="dxa" w:w="1701"/>
            <w:vAlign w:val="center"/>
          </w:tcPr>
          <w:p>
            <w:r>
              <w:rPr>
                <w:sz w:val="16"/>
              </w:rPr>
              <w:t>TCGA-D1-A15W</w:t>
            </w:r>
          </w:p>
        </w:tc>
        <w:tc>
          <w:tcPr>
            <w:tcW w:type="dxa" w:w="4535"/>
            <w:vAlign w:val="center"/>
          </w:tcPr>
          <w:p>
            <w:r>
              <w:rPr>
                <w:sz w:val="16"/>
              </w:rPr>
              <w:t>TCGA-D1-A15W-01Z-00-DX1.34F5EB62-FB33-4CDA-AFAB-E74A53E16011</w:t>
            </w:r>
          </w:p>
        </w:tc>
        <w:tc>
          <w:tcPr>
            <w:tcW w:type="dxa" w:w="1247"/>
            <w:vAlign w:val="center"/>
          </w:tcPr>
          <w:p>
            <w:r>
              <w:rPr>
                <w:sz w:val="16"/>
              </w:rPr>
              <w:t>0.0000</w:t>
            </w:r>
          </w:p>
        </w:tc>
        <w:tc>
          <w:tcPr>
            <w:tcW w:type="dxa" w:w="1361"/>
            <w:vAlign w:val="center"/>
          </w:tcPr>
          <w:p>
            <w:r>
              <w:rPr>
                <w:sz w:val="16"/>
              </w:rPr>
              <w:t>-1.6847</w:t>
            </w:r>
          </w:p>
        </w:tc>
        <w:tc>
          <w:tcPr>
            <w:tcW w:type="dxa" w:w="1474"/>
            <w:vAlign w:val="center"/>
          </w:tcPr>
          <w:p>
            <w:r>
              <w:rPr>
                <w:sz w:val="16"/>
              </w:rPr>
              <w:t>0.004</w:t>
            </w:r>
          </w:p>
        </w:tc>
        <w:tc>
          <w:tcPr>
            <w:tcW w:type="dxa" w:w="1134"/>
            <w:vAlign w:val="center"/>
          </w:tcPr>
          <w:p>
            <w:r>
              <w:rPr>
                <w:sz w:val="16"/>
              </w:rPr>
              <w:t>0.956</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high/anchor</w:t>
            </w:r>
          </w:p>
        </w:tc>
        <w:tc>
          <w:tcPr>
            <w:tcW w:type="dxa" w:w="1701"/>
            <w:vAlign w:val="center"/>
          </w:tcPr>
          <w:p>
            <w:r>
              <w:rPr>
                <w:sz w:val="16"/>
              </w:rPr>
              <w:t>TCGA-ZB-A96H</w:t>
            </w:r>
          </w:p>
        </w:tc>
        <w:tc>
          <w:tcPr>
            <w:tcW w:type="dxa" w:w="4535"/>
            <w:vAlign w:val="center"/>
          </w:tcPr>
          <w:p>
            <w:r>
              <w:rPr>
                <w:sz w:val="16"/>
              </w:rPr>
              <w:t>TCGA-ZB-A96H-01Z-00-DX1.3646422A-D528-49EA-9AF5-196A12B7FE2A</w:t>
            </w:r>
          </w:p>
        </w:tc>
        <w:tc>
          <w:tcPr>
            <w:tcW w:type="dxa" w:w="1247"/>
            <w:vAlign w:val="center"/>
          </w:tcPr>
          <w:p>
            <w:r>
              <w:rPr>
                <w:sz w:val="16"/>
              </w:rPr>
              <w:t>1.0000</w:t>
            </w:r>
          </w:p>
        </w:tc>
        <w:tc>
          <w:tcPr>
            <w:tcW w:type="dxa" w:w="1361"/>
            <w:vAlign w:val="center"/>
          </w:tcPr>
          <w:p>
            <w:r>
              <w:rPr>
                <w:sz w:val="16"/>
              </w:rPr>
              <w:t>17.8648</w:t>
            </w:r>
          </w:p>
        </w:tc>
        <w:tc>
          <w:tcPr>
            <w:tcW w:type="dxa" w:w="1474"/>
            <w:vAlign w:val="center"/>
          </w:tcPr>
          <w:p>
            <w:r>
              <w:rPr>
                <w:sz w:val="16"/>
              </w:rPr>
              <w:t>1.000</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high/nearest neighbour</w:t>
            </w:r>
          </w:p>
        </w:tc>
        <w:tc>
          <w:tcPr>
            <w:tcW w:type="dxa" w:w="1701"/>
            <w:vAlign w:val="center"/>
          </w:tcPr>
          <w:p>
            <w:r>
              <w:rPr>
                <w:sz w:val="16"/>
              </w:rPr>
              <w:t>TCGA-ZB-A96E</w:t>
            </w:r>
          </w:p>
        </w:tc>
        <w:tc>
          <w:tcPr>
            <w:tcW w:type="dxa" w:w="4535"/>
            <w:vAlign w:val="center"/>
          </w:tcPr>
          <w:p>
            <w:r>
              <w:rPr>
                <w:sz w:val="16"/>
              </w:rPr>
              <w:t>TCGA-ZB-A96E-01Z-00-DX1.F5D4CCAE-090D-467B-87D8-F07501A8D64D</w:t>
            </w:r>
          </w:p>
        </w:tc>
        <w:tc>
          <w:tcPr>
            <w:tcW w:type="dxa" w:w="1247"/>
            <w:vAlign w:val="center"/>
          </w:tcPr>
          <w:p>
            <w:r>
              <w:rPr>
                <w:sz w:val="16"/>
              </w:rPr>
              <w:t>1.0000</w:t>
            </w:r>
          </w:p>
        </w:tc>
        <w:tc>
          <w:tcPr>
            <w:tcW w:type="dxa" w:w="1361"/>
            <w:vAlign w:val="center"/>
          </w:tcPr>
          <w:p>
            <w:r>
              <w:rPr>
                <w:sz w:val="16"/>
              </w:rPr>
              <w:t>9.4740</w:t>
            </w:r>
          </w:p>
        </w:tc>
        <w:tc>
          <w:tcPr>
            <w:tcW w:type="dxa" w:w="1474"/>
            <w:vAlign w:val="center"/>
          </w:tcPr>
          <w:p>
            <w:r>
              <w:rPr>
                <w:sz w:val="16"/>
              </w:rPr>
              <w:t>0.850</w:t>
            </w:r>
          </w:p>
        </w:tc>
        <w:tc>
          <w:tcPr>
            <w:tcW w:type="dxa" w:w="1134"/>
            <w:vAlign w:val="center"/>
          </w:tcPr>
          <w:p>
            <w:r>
              <w:rPr>
                <w:sz w:val="16"/>
              </w:rPr>
              <w:t>0.872</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low/anchor</w:t>
            </w:r>
          </w:p>
        </w:tc>
        <w:tc>
          <w:tcPr>
            <w:tcW w:type="dxa" w:w="1701"/>
            <w:vAlign w:val="center"/>
          </w:tcPr>
          <w:p>
            <w:r>
              <w:rPr>
                <w:sz w:val="16"/>
              </w:rPr>
              <w:t>TCGA-4V-A9QS</w:t>
            </w:r>
          </w:p>
        </w:tc>
        <w:tc>
          <w:tcPr>
            <w:tcW w:type="dxa" w:w="4535"/>
            <w:vAlign w:val="center"/>
          </w:tcPr>
          <w:p>
            <w:r>
              <w:rPr>
                <w:sz w:val="16"/>
              </w:rPr>
              <w:t>TCGA-4V-A9QS-01Z-00-DX1.2E2AFA63-D5DD-44D0-801A-D2F5738A4F1B</w:t>
            </w:r>
          </w:p>
        </w:tc>
        <w:tc>
          <w:tcPr>
            <w:tcW w:type="dxa" w:w="1247"/>
            <w:vAlign w:val="center"/>
          </w:tcPr>
          <w:p>
            <w:r>
              <w:rPr>
                <w:sz w:val="16"/>
              </w:rPr>
              <w:t>0.0000</w:t>
            </w:r>
          </w:p>
        </w:tc>
        <w:tc>
          <w:tcPr>
            <w:tcW w:type="dxa" w:w="1361"/>
            <w:vAlign w:val="center"/>
          </w:tcPr>
          <w:p>
            <w:r>
              <w:rPr>
                <w:sz w:val="16"/>
              </w:rPr>
              <w:t>-29.9794</w:t>
            </w:r>
          </w:p>
        </w:tc>
        <w:tc>
          <w:tcPr>
            <w:tcW w:type="dxa" w:w="1474"/>
            <w:vAlign w:val="center"/>
          </w:tcPr>
          <w:p>
            <w:r>
              <w:rPr>
                <w:sz w:val="16"/>
              </w:rPr>
              <w:t>0.008</w:t>
            </w:r>
          </w:p>
        </w:tc>
        <w:tc>
          <w:tcPr>
            <w:tcW w:type="dxa" w:w="1134"/>
            <w:vAlign w:val="center"/>
          </w:tcPr>
          <w:p>
            <w:r>
              <w:rPr>
                <w:sz w:val="16"/>
              </w:rPr>
              <w:t>1.000</w:t>
            </w:r>
          </w:p>
        </w:tc>
        <w:tc>
          <w:tcPr>
            <w:tcW w:type="dxa" w:w="3969"/>
            <w:vAlign w:val="center"/>
          </w:tcPr>
          <w:p>
            <w:r>
              <w:rPr>
                <w:sz w:val="16"/>
              </w:rPr>
              <w:t>none of the prespecified report terms</w:t>
            </w:r>
          </w:p>
        </w:tc>
      </w:tr>
      <w:tr>
        <w:trPr>
          <w:cantSplit/>
        </w:trPr>
        <w:tc>
          <w:tcPr>
            <w:tcW w:type="dxa" w:w="2381"/>
            <w:vAlign w:val="center"/>
          </w:tcPr>
          <w:p>
            <w:r>
              <w:rPr>
                <w:sz w:val="16"/>
              </w:rPr>
              <w:t>THYM–GTF2I</w:t>
            </w:r>
          </w:p>
        </w:tc>
        <w:tc>
          <w:tcPr>
            <w:tcW w:type="dxa" w:w="1814"/>
            <w:vAlign w:val="center"/>
          </w:tcPr>
          <w:p>
            <w:r>
              <w:rPr>
                <w:sz w:val="16"/>
              </w:rPr>
              <w:t>low/nearest neighbour</w:t>
            </w:r>
          </w:p>
        </w:tc>
        <w:tc>
          <w:tcPr>
            <w:tcW w:type="dxa" w:w="1701"/>
            <w:vAlign w:val="center"/>
          </w:tcPr>
          <w:p>
            <w:r>
              <w:rPr>
                <w:sz w:val="16"/>
              </w:rPr>
              <w:t>TCGA-4V-A9QJ</w:t>
            </w:r>
          </w:p>
        </w:tc>
        <w:tc>
          <w:tcPr>
            <w:tcW w:type="dxa" w:w="4535"/>
            <w:vAlign w:val="center"/>
          </w:tcPr>
          <w:p>
            <w:r>
              <w:rPr>
                <w:sz w:val="16"/>
              </w:rPr>
              <w:t>TCGA-4V-A9QJ-01Z-00-DX1.1D2A7170-200C-4355-A7E6-C611532F8AC9</w:t>
            </w:r>
          </w:p>
        </w:tc>
        <w:tc>
          <w:tcPr>
            <w:tcW w:type="dxa" w:w="1247"/>
            <w:vAlign w:val="center"/>
          </w:tcPr>
          <w:p>
            <w:r>
              <w:rPr>
                <w:sz w:val="16"/>
              </w:rPr>
              <w:t>0.0000</w:t>
            </w:r>
          </w:p>
        </w:tc>
        <w:tc>
          <w:tcPr>
            <w:tcW w:type="dxa" w:w="1361"/>
            <w:vAlign w:val="center"/>
          </w:tcPr>
          <w:p>
            <w:r>
              <w:rPr>
                <w:sz w:val="16"/>
              </w:rPr>
              <w:t>-18.3270</w:t>
            </w:r>
          </w:p>
        </w:tc>
        <w:tc>
          <w:tcPr>
            <w:tcW w:type="dxa" w:w="1474"/>
            <w:vAlign w:val="center"/>
          </w:tcPr>
          <w:p>
            <w:r>
              <w:rPr>
                <w:sz w:val="16"/>
              </w:rPr>
              <w:t>0.017</w:t>
            </w:r>
          </w:p>
        </w:tc>
        <w:tc>
          <w:tcPr>
            <w:tcW w:type="dxa" w:w="1134"/>
            <w:vAlign w:val="center"/>
          </w:tcPr>
          <w:p>
            <w:r>
              <w:rPr>
                <w:sz w:val="16"/>
              </w:rPr>
              <w:t>0.905</w:t>
            </w:r>
          </w:p>
        </w:tc>
        <w:tc>
          <w:tcPr>
            <w:tcW w:type="dxa" w:w="3969"/>
            <w:vAlign w:val="center"/>
          </w:tcPr>
          <w:p>
            <w:r>
              <w:rPr>
                <w:sz w:val="16"/>
              </w:rPr>
              <w:t>necrosis</w:t>
            </w:r>
          </w:p>
        </w:tc>
      </w:tr>
    </w:tbl>
    <w:p/>
    <w:p>
      <w:pPr>
        <w:jc w:val="center"/>
      </w:pPr>
      <w:r>
        <w:drawing>
          <wp:inline xmlns:a="http://schemas.openxmlformats.org/drawingml/2006/main" xmlns:pic="http://schemas.openxmlformats.org/drawingml/2006/picture">
            <wp:extent cx="8046720" cy="5096256"/>
            <wp:docPr id="2" name="Picture 2"/>
            <wp:cNvGraphicFramePr>
              <a:graphicFrameLocks noChangeAspect="1"/>
            </wp:cNvGraphicFramePr>
            <a:graphic>
              <a:graphicData uri="http://schemas.openxmlformats.org/drawingml/2006/picture">
                <pic:pic>
                  <pic:nvPicPr>
                    <pic:cNvPr id="0" name="FigureS4_morphology_context.png"/>
                    <pic:cNvPicPr/>
                  </pic:nvPicPr>
                  <pic:blipFill>
                    <a:blip r:embed="rId12"/>
                    <a:stretch>
                      <a:fillRect/>
                    </a:stretch>
                  </pic:blipFill>
                  <pic:spPr>
                    <a:xfrm>
                      <a:off x="0" y="0"/>
                      <a:ext cx="8046720" cy="5096256"/>
                    </a:xfrm>
                    <a:prstGeom prst="rect"/>
                  </pic:spPr>
                </pic:pic>
              </a:graphicData>
            </a:graphic>
          </wp:inline>
        </w:drawing>
      </w:r>
    </w:p>
    <w:p>
      <w:pPr>
        <w:pStyle w:val="Caption"/>
        <w:jc w:val="center"/>
      </w:pPr>
      <w:r>
        <w:t>Figure S4. Qualitative morphology context for five representative label modalities. Grey points are all repeated out-of-fold patient predictions. H/L are concordant high/low anchors and triangles are their closest within-cancer patient-level mean-embedding neighbours. The BLCA TIL Regional Fraction target was itself inferred from H&amp;E. Neighbour retrieval is not patch-level attribution; exact patient/slide identifiers, original predictions and automated-report provenance are in Table S14.</w:t>
      </w:r>
    </w:p>
    <w:p>
      <w:pPr>
        <w:sectPr>
          <w:pgSz w:w="16838" w:h="11906" w:orient="landscape"/>
          <w:pgMar w:top="850" w:right="850" w:bottom="850" w:left="850" w:header="720" w:footer="720" w:gutter="0"/>
          <w:cols w:space="720"/>
          <w:docGrid w:linePitch="360"/>
          <w:lnNumType w:countBy="1" w:restart="continuous"/>
          <w:lnNumType w:countBy="1" w:restart="continuous"/>
          <w:lnNumType w:countBy="1" w:restart="continuous"/>
          <w:lnNumType w:countBy="1" w:restart="continuous"/>
        </w:sectPr>
      </w:pPr>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3" name="Picture 3"/>
            <wp:cNvGraphicFramePr>
              <a:graphicFrameLocks noChangeAspect="1"/>
            </wp:cNvGraphicFramePr>
            <a:graphic>
              <a:graphicData uri="http://schemas.openxmlformats.org/drawingml/2006/picture">
                <pic:pic>
                  <pic:nvPicPr>
                    <pic:cNvPr id="0" name="Figure6a_pls1_vs_pls2_targets.png"/>
                    <pic:cNvPicPr/>
                  </pic:nvPicPr>
                  <pic:blipFill>
                    <a:blip r:embed="rId13"/>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4" name="Picture 4"/>
            <wp:cNvGraphicFramePr>
              <a:graphicFrameLocks noChangeAspect="1"/>
            </wp:cNvGraphicFramePr>
            <a:graphic>
              <a:graphicData uri="http://schemas.openxmlformats.org/drawingml/2006/picture">
                <pic:pic>
                  <pic:nvPicPr>
                    <pic:cNvPr id="0" name="Figure6b_pls1_vs_pls2_cancers.png"/>
                    <pic:cNvPicPr/>
                  </pic:nvPicPr>
                  <pic:blipFill>
                    <a:blip r:embed="rId14"/>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endpoint_dictionary.csv</w:t>
      </w:r>
    </w:p>
    <w:p>
      <w:pPr>
        <w:pStyle w:val="ListBullet"/>
        <w:spacing w:after="0" w:line="288" w:lineRule="auto"/>
      </w:pPr>
      <w:r>
        <w:t>endpoint_definition_dictionary.csv</w:t>
      </w:r>
    </w:p>
    <w:p>
      <w:pPr>
        <w:pStyle w:val="ListBullet"/>
        <w:spacing w:after="0" w:line="288" w:lineRule="auto"/>
      </w:pPr>
      <w:r>
        <w:t>endpoint_dictionary_summary.csv</w:t>
      </w:r>
    </w:p>
    <w:p>
      <w:pPr>
        <w:pStyle w:val="ListBullet"/>
        <w:spacing w:after="0" w:line="288" w:lineRule="auto"/>
      </w:pPr>
      <w:r>
        <w:t>morphology_context_examples.csv</w:t>
      </w:r>
    </w:p>
    <w:p>
      <w:pPr>
        <w:pStyle w:val="ListBullet"/>
        <w:spacing w:after="0" w:line="288" w:lineRule="auto"/>
      </w:pPr>
      <w:r>
        <w:t>morphology_context_model_summary.csv</w:t>
      </w:r>
    </w:p>
    <w:p>
      <w:pPr>
        <w:pStyle w:val="ListBullet"/>
        <w:spacing w:after="0" w:line="288" w:lineRule="auto"/>
      </w:pPr>
      <w:r>
        <w:t>permutation_monte_carlo_uncertainty.csv</w:t>
      </w:r>
    </w:p>
    <w:p>
      <w:pPr>
        <w:pStyle w:val="ListBullet"/>
        <w:spacing w:after="0" w:line="288" w:lineRule="auto"/>
      </w:pPr>
      <w:r>
        <w:t>targeted_permutation_refinement.csv</w:t>
      </w:r>
    </w:p>
    <w:p>
      <w:pPr>
        <w:pStyle w:val="ListBullet"/>
        <w:spacing w:after="0" w:line="288" w:lineRule="auto"/>
      </w:pPr>
      <w:r>
        <w:t>targeted_permutation_refinement_targets.csv</w:t>
      </w:r>
    </w:p>
    <w:p>
      <w:pPr>
        <w:pStyle w:val="ListBullet"/>
        <w:spacing w:after="0" w:line="288" w:lineRule="auto"/>
      </w:pPr>
      <w:r>
        <w:t>multiplicity_sensitivity_by_endpoint.csv</w:t>
      </w:r>
    </w:p>
    <w:p>
      <w:pPr>
        <w:pStyle w:val="ListBullet"/>
        <w:spacing w:after="0" w:line="288" w:lineRule="auto"/>
      </w:pPr>
      <w:r>
        <w:t>multiplicity_sensitivity_summary.csv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binary_minimum_class_sensitivity.csv</w:t>
      </w:r>
    </w:p>
    <w:p>
      <w:pPr>
        <w:pStyle w:val="ListBullet"/>
        <w:spacing w:after="0" w:line="288" w:lineRule="auto"/>
      </w:pPr>
      <w:r>
        <w:t>binary_class_reliability_summary.csv</w:t>
      </w:r>
    </w:p>
    <w:p>
      <w:pPr>
        <w:pStyle w:val="ListBullet"/>
        <w:spacing w:after="0" w:line="288" w:lineRule="auto"/>
      </w:pPr>
      <w:r>
        <w:t>binary_limited_evidence_models.csv</w:t>
      </w:r>
    </w:p>
    <w:p>
      <w:pPr>
        <w:pStyle w:val="ListBullet"/>
        <w:spacing w:after="0" w:line="288" w:lineRule="auto"/>
      </w:pPr>
      <w:r>
        <w:t>binary_reliability_by_repeat.csv</w:t>
      </w:r>
    </w:p>
    <w:p>
      <w:pPr>
        <w:pStyle w:val="ListBullet"/>
        <w:spacing w:after="0" w:line="288" w:lineRule="auto"/>
      </w:pPr>
      <w:r>
        <w:t>binary_outer_fold_class_counts.csv</w:t>
      </w:r>
    </w:p>
    <w:p>
      <w:pPr>
        <w:pStyle w:val="ListBullet"/>
        <w:spacing w:after="0" w:line="288" w:lineRule="auto"/>
      </w:pPr>
      <w:r>
        <w:t>binary_selected_components_by_fold.csv</w:t>
      </w:r>
    </w:p>
    <w:p>
      <w:pPr>
        <w:pStyle w:val="ListBullet"/>
        <w:spacing w:after="0" w:line="288" w:lineRule="auto"/>
      </w:pPr>
      <w:r>
        <w:t>binary_selected_component_distribution.csv</w:t>
      </w:r>
    </w:p>
    <w:p>
      <w:pPr>
        <w:pStyle w:val="ListBullet"/>
        <w:spacing w:after="0" w:line="288" w:lineRule="auto"/>
      </w:pPr>
      <w:r>
        <w:t>binary_prediction_stability.csv</w:t>
      </w:r>
    </w:p>
    <w:p>
      <w:pPr>
        <w:pStyle w:val="ListBullet"/>
        <w:spacing w:after="0" w:line="288" w:lineRule="auto"/>
      </w:pPr>
      <w:r>
        <w:t>binary_limited_evidence_learning_curve_repeats.csv</w:t>
      </w:r>
    </w:p>
    <w:p>
      <w:pPr>
        <w:pStyle w:val="ListBullet"/>
        <w:spacing w:after="0" w:line="288" w:lineRule="auto"/>
      </w:pPr>
      <w:r>
        <w:t>binary_limited_evidence_learning_curve_folds.csv</w:t>
      </w:r>
    </w:p>
    <w:p>
      <w:pPr>
        <w:pStyle w:val="ListBullet"/>
        <w:spacing w:after="0" w:line="288" w:lineRule="auto"/>
      </w:pPr>
      <w:r>
        <w:t>binary_limited_evidence_learning_curve_summary.csv</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site_grouped_outer_fold_composition.csv</w:t>
      </w:r>
    </w:p>
    <w:p>
      <w:pPr>
        <w:pStyle w:val="ListBullet"/>
        <w:spacing w:after="0" w:line="288" w:lineRule="auto"/>
      </w:pPr>
      <w:r>
        <w:t>site_grouped_fold_composition_summary.csv</w:t>
      </w:r>
    </w:p>
    <w:p>
      <w:pPr>
        <w:pStyle w:val="ListBullet"/>
        <w:spacing w:after="0" w:line="288" w:lineRule="auto"/>
      </w:pPr>
      <w:r>
        <w:t>tissue_source_site_predictability_repeats.csv</w:t>
      </w:r>
    </w:p>
    <w:p>
      <w:pPr>
        <w:pStyle w:val="ListBullet"/>
        <w:spacing w:after="0" w:line="288" w:lineRule="auto"/>
      </w:pPr>
      <w:r>
        <w:t>tissue_source_site_predictability_summary.csv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pls_vs_ridge_representative_sampling_frame.csv</w:t>
      </w:r>
    </w:p>
    <w:p>
      <w:pPr>
        <w:pStyle w:val="ListBullet"/>
        <w:spacing w:after="0" w:line="288" w:lineRule="auto"/>
      </w:pPr>
      <w:r>
        <w:t>pls_vs_ridge_representative_jobs.csv</w:t>
      </w:r>
    </w:p>
    <w:p>
      <w:pPr>
        <w:pStyle w:val="ListBullet"/>
        <w:spacing w:after="0" w:line="288" w:lineRule="auto"/>
      </w:pPr>
      <w:r>
        <w:t>pls_vs_ridge_representative_repeated_nested_cv.csv</w:t>
      </w:r>
    </w:p>
    <w:p>
      <w:pPr>
        <w:pStyle w:val="ListBullet"/>
        <w:spacing w:after="0" w:line="288" w:lineRule="auto"/>
      </w:pPr>
      <w:r>
        <w:t>binary_symmetric_pls_ridge_representative_repeated_nested_cv.csv</w:t>
      </w:r>
    </w:p>
    <w:p>
      <w:pPr>
        <w:pStyle w:val="ListBullet"/>
        <w:spacing w:after="0" w:line="288" w:lineRule="auto"/>
      </w:pPr>
      <w:r>
        <w:t>pls_vs_ridge_representative_paired_repeat_metrics.csv</w:t>
      </w:r>
    </w:p>
    <w:p>
      <w:pPr>
        <w:pStyle w:val="ListBullet"/>
        <w:spacing w:after="0" w:line="288" w:lineRule="auto"/>
      </w:pPr>
      <w:r>
        <w:t>pls_vs_ridge_representative_matched_oof_predictions.csv.gz</w:t>
      </w:r>
    </w:p>
    <w:p>
      <w:pPr>
        <w:pStyle w:val="ListBullet"/>
        <w:spacing w:after="0" w:line="288" w:lineRule="auto"/>
      </w:pPr>
      <w:r>
        <w:t>pls_vs_ridge_representative_models.csv</w:t>
      </w:r>
    </w:p>
    <w:p>
      <w:pPr>
        <w:pStyle w:val="ListBullet"/>
        <w:spacing w:after="0" w:line="288" w:lineRule="auto"/>
      </w:pPr>
      <w:r>
        <w:t>pls_vs_ridge_representative_summary.csv</w:t>
      </w:r>
    </w:p>
    <w:p>
      <w:pPr>
        <w:pStyle w:val="ListBullet"/>
        <w:spacing w:after="0" w:line="288" w:lineRule="auto"/>
      </w:pPr>
      <w:r>
        <w:t>pls_vs_ridge_representative_stratified_summary.csv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external_validation_locked_targets.csv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pgSz w:w="11906" w:h="16838"/>
      <w:pgMar w:top="1134" w:right="1247" w:bottom="1134" w:left="1247" w:header="720" w:footer="720" w:gutter="0"/>
      <w:cols w:space="720"/>
      <w:docGrid w:linePitch="360"/>
      <w:lnNumType w:countBy="1" w:restart="continuous"/>
      <w:lnNumType w:countBy="1" w:restart="continuous"/>
      <w:lnNumType w:countBy="1" w:restart="continuous"/>
      <w:lnNumType w:countBy="1" w:restart="continuous"/>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