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leading models were extended to 9,999 permutations.</w:t>
      </w:r>
    </w:p>
    <w:p>
      <w:r>
        <w:rPr>
          <w:b/>
        </w:rPr>
        <w:t xml:space="preserve">Results. </w:t>
      </w:r>
      <w:r>
        <w:t>Screening identified 219 continuous and 104 binary candidates in prespecified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Prior studies supported 38/41 screen-positive cancer–gene pairs. 320/323 local candidates passed single BH correction across all 2,073 eligible tests. Tissue-source-site grouping reduced 83/323 candidates (25.7%) below the original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derived immune and genomic-context features continuously; and constructs compact fitted predictors with research-use provenance metadata. These design and resource features—not unprecedented endpoint classes—define the contribution of this study (Table 1).</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Caption"/>
      </w:pPr>
      <w:r>
        <w:t>Table 1. Comparison with major pan-cancer histology–molecular prediction studies. Panel A summarises cohort, endpoint and representation design; Panel B summarises validation, robustness, reporting and reusable predictor availability.</w:t>
      </w:r>
    </w:p>
    <w:p>
      <w:pPr>
        <w:pStyle w:val="Caption"/>
      </w:pPr>
      <w:r>
        <w:t>Panel A. Cohort, endpoints, representation and patient aggregation.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1701"/>
          </w:tcPr>
          <w:p>
            <w:r>
              <w:rPr>
                <w:b/>
                <w:sz w:val="17"/>
              </w:rPr>
              <w:t>Study</w:t>
            </w:r>
          </w:p>
        </w:tc>
        <w:tc>
          <w:tcPr>
            <w:tcW w:type="dxa" w:w="2268"/>
          </w:tcPr>
          <w:p>
            <w:r>
              <w:rPr>
                <w:b/>
                <w:sz w:val="17"/>
              </w:rPr>
              <w:t>Patients; cancers</w:t>
            </w:r>
          </w:p>
        </w:tc>
        <w:tc>
          <w:tcPr>
            <w:tcW w:type="dxa" w:w="1701"/>
          </w:tcPr>
          <w:p>
            <w:r>
              <w:rPr>
                <w:b/>
                <w:sz w:val="17"/>
              </w:rPr>
              <w:t>Slides</w:t>
            </w:r>
          </w:p>
        </w:tc>
        <w:tc>
          <w:tcPr>
            <w:tcW w:type="dxa" w:w="4252"/>
          </w:tcPr>
          <w:p>
            <w:r>
              <w:rPr>
                <w:b/>
                <w:sz w:val="17"/>
              </w:rPr>
              <w:t>Endpoint classes</w:t>
            </w:r>
          </w:p>
        </w:tc>
        <w:tc>
          <w:tcPr>
            <w:tcW w:type="dxa" w:w="5102"/>
          </w:tcPr>
          <w:p>
            <w:r>
              <w:rPr>
                <w:b/>
                <w:sz w:val="17"/>
              </w:rPr>
              <w:t>Representation; patient aggregation</w:t>
            </w:r>
          </w:p>
        </w:tc>
      </w:tr>
      <w:tr>
        <w:trPr>
          <w:cantSplit/>
        </w:trPr>
        <w:tc>
          <w:tcPr>
            <w:tcW w:type="dxa" w:w="1701"/>
            <w:vAlign w:val="center"/>
          </w:tcPr>
          <w:p>
            <w:r>
              <w:rPr>
                <w:sz w:val="16"/>
              </w:rPr>
              <w:t>Fu et al. [4]</w:t>
            </w:r>
          </w:p>
        </w:tc>
        <w:tc>
          <w:tcPr>
            <w:tcW w:type="dxa" w:w="2268"/>
            <w:vAlign w:val="center"/>
          </w:tcPr>
          <w:p>
            <w:r>
              <w:rPr>
                <w:sz w:val="16"/>
              </w:rPr>
              <w:t>Not reported as one total in the main article; 28 cancers</w:t>
            </w:r>
          </w:p>
        </w:tc>
        <w:tc>
          <w:tcPr>
            <w:tcW w:type="dxa" w:w="1701"/>
            <w:vAlign w:val="center"/>
          </w:tcPr>
          <w:p>
            <w:r>
              <w:rPr>
                <w:sz w:val="16"/>
              </w:rPr>
              <w:t>17,355</w:t>
            </w:r>
          </w:p>
        </w:tc>
        <w:tc>
          <w:tcPr>
            <w:tcW w:type="dxa" w:w="4252"/>
            <w:vAlign w:val="center"/>
          </w:tcPr>
          <w:p>
            <w:r>
              <w:rPr>
                <w:sz w:val="16"/>
              </w:rPr>
              <w:t>Cancer and tissue class; mutations; whole-genome duplication and copy-number alterations; transcriptomic and tumour-composition features; prognosis</w:t>
            </w:r>
          </w:p>
        </w:tc>
        <w:tc>
          <w:tcPr>
            <w:tcW w:type="dxa" w:w="5102"/>
            <w:vAlign w:val="center"/>
          </w:tcPr>
          <w:p>
            <w:r>
              <w:rPr>
                <w:sz w:val="16"/>
              </w:rPr>
              <w:t>Inception-v4 deep-transfer image features (1,536 dimensions). A deterministic pre-model patient-vector pooling rule was not described in the main article</w:t>
            </w:r>
          </w:p>
        </w:tc>
      </w:tr>
      <w:tr>
        <w:trPr>
          <w:cantSplit/>
        </w:trPr>
        <w:tc>
          <w:tcPr>
            <w:tcW w:type="dxa" w:w="1701"/>
            <w:vAlign w:val="center"/>
          </w:tcPr>
          <w:p>
            <w:r>
              <w:rPr>
                <w:sz w:val="16"/>
              </w:rPr>
              <w:t>Kather et al. [5]</w:t>
            </w:r>
          </w:p>
        </w:tc>
        <w:tc>
          <w:tcPr>
            <w:tcW w:type="dxa" w:w="2268"/>
            <w:vAlign w:val="center"/>
          </w:tcPr>
          <w:p>
            <w:r>
              <w:rPr>
                <w:sz w:val="16"/>
              </w:rPr>
              <w:t>&gt;5,000; 14 cancers</w:t>
            </w:r>
          </w:p>
        </w:tc>
        <w:tc>
          <w:tcPr>
            <w:tcW w:type="dxa" w:w="1701"/>
            <w:vAlign w:val="center"/>
          </w:tcPr>
          <w:p>
            <w:r>
              <w:rPr>
                <w:sz w:val="16"/>
              </w:rPr>
              <w:t>Not reported as one total in the main article</w:t>
            </w:r>
          </w:p>
        </w:tc>
        <w:tc>
          <w:tcPr>
            <w:tcW w:type="dxa" w:w="4252"/>
            <w:vAlign w:val="center"/>
          </w:tcPr>
          <w:p>
            <w:r>
              <w:rPr>
                <w:sz w:val="16"/>
              </w:rPr>
              <w:t>Mutations; oncogenic drivers; molecular subtypes and expression signatures; standard-of-care biomarkers</w:t>
            </w:r>
          </w:p>
        </w:tc>
        <w:tc>
          <w:tcPr>
            <w:tcW w:type="dxa" w:w="5102"/>
            <w:vAlign w:val="center"/>
          </w:tcPr>
          <w:p>
            <w:r>
              <w:rPr>
                <w:sz w:val="16"/>
              </w:rPr>
              <w:t>Task-specific CNN workflow using tumour regions and tile aggregation. Tile predictions aggregated to the patient; patients, not tiles, assigned to folds</w:t>
            </w:r>
          </w:p>
        </w:tc>
      </w:tr>
      <w:tr>
        <w:trPr>
          <w:cantSplit/>
        </w:trPr>
        <w:tc>
          <w:tcPr>
            <w:tcW w:type="dxa" w:w="1701"/>
            <w:vAlign w:val="center"/>
          </w:tcPr>
          <w:p>
            <w:r>
              <w:rPr>
                <w:sz w:val="16"/>
              </w:rPr>
              <w:t>Saldanha et al. [11]</w:t>
            </w:r>
          </w:p>
        </w:tc>
        <w:tc>
          <w:tcPr>
            <w:tcW w:type="dxa" w:w="2268"/>
            <w:vAlign w:val="center"/>
          </w:tcPr>
          <w:p>
            <w:r>
              <w:rPr>
                <w:sz w:val="16"/>
              </w:rPr>
              <w:t>3,743 TCGA; 776 CPTAC; 7 cancers</w:t>
            </w:r>
          </w:p>
        </w:tc>
        <w:tc>
          <w:tcPr>
            <w:tcW w:type="dxa" w:w="1701"/>
            <w:vAlign w:val="center"/>
          </w:tcPr>
          <w:p>
            <w:r>
              <w:rPr>
                <w:sz w:val="16"/>
              </w:rPr>
              <w:t>Not reported as one total in the main article</w:t>
            </w:r>
          </w:p>
        </w:tc>
        <w:tc>
          <w:tcPr>
            <w:tcW w:type="dxa" w:w="4252"/>
            <w:vAlign w:val="center"/>
          </w:tcPr>
          <w:p>
            <w:r>
              <w:rPr>
                <w:sz w:val="16"/>
              </w:rPr>
              <w:t>Somatic alterations in eligible OncoKB oncogenes and tumour-suppressor genes</w:t>
            </w:r>
          </w:p>
        </w:tc>
        <w:tc>
          <w:tcPr>
            <w:tcW w:type="dxa" w:w="5102"/>
            <w:vAlign w:val="center"/>
          </w:tcPr>
          <w:p>
            <w:r>
              <w:rPr>
                <w:sz w:val="16"/>
              </w:rPr>
              <w:t>RetCCL self-supervised tile features plus attention-based multiple-instance learning. Attention aggregation yielded patient-level predictions; a deterministic multi-slide pooling rule was not specified in the main report</w:t>
            </w:r>
          </w:p>
        </w:tc>
      </w:tr>
      <w:tr>
        <w:trPr>
          <w:cantSplit/>
        </w:trPr>
        <w:tc>
          <w:tcPr>
            <w:tcW w:type="dxa" w:w="1701"/>
            <w:vAlign w:val="center"/>
          </w:tcPr>
          <w:p>
            <w:r>
              <w:rPr>
                <w:sz w:val="16"/>
              </w:rPr>
              <w:t>Arslan et al. [13]</w:t>
            </w:r>
          </w:p>
        </w:tc>
        <w:tc>
          <w:tcPr>
            <w:tcW w:type="dxa" w:w="2268"/>
            <w:vAlign w:val="center"/>
          </w:tcPr>
          <w:p>
            <w:r>
              <w:rPr>
                <w:sz w:val="16"/>
              </w:rPr>
              <w:t>8,890 TCGA; 1,329 CPTAC; 32 TCGA; 7 CPTAC cancers</w:t>
            </w:r>
          </w:p>
        </w:tc>
        <w:tc>
          <w:tcPr>
            <w:tcW w:type="dxa" w:w="1701"/>
            <w:vAlign w:val="center"/>
          </w:tcPr>
          <w:p>
            <w:r>
              <w:rPr>
                <w:sz w:val="16"/>
              </w:rPr>
              <w:t>10,954 TCGA; 3,481 CPTAC</w:t>
            </w:r>
          </w:p>
        </w:tc>
        <w:tc>
          <w:tcPr>
            <w:tcW w:type="dxa" w:w="4252"/>
            <w:vAlign w:val="center"/>
          </w:tcPr>
          <w:p>
            <w:r>
              <w:rPr>
                <w:sz w:val="16"/>
              </w:rPr>
              <w:t>4,031 genomic, transcriptomic, proteomic, standard-of-care, subtype, signature, clinical-outcome and treatment-response biomarkers; 12,093 TCGA models</w:t>
            </w:r>
          </w:p>
        </w:tc>
        <w:tc>
          <w:tcPr>
            <w:tcW w:type="dxa" w:w="5102"/>
            <w:vAlign w:val="center"/>
          </w:tcPr>
          <w:p>
            <w:r>
              <w:rPr>
                <w:sz w:val="16"/>
              </w:rPr>
              <w:t>Target-specific ResNet34 encoder-decoder CNNs trained from scratch. Tile scores averaged to slides and slide scores averaged within patient for patient-level AUROC; patient-level folds</w:t>
            </w:r>
          </w:p>
        </w:tc>
      </w:tr>
      <w:tr>
        <w:trPr>
          <w:cantSplit/>
        </w:trPr>
        <w:tc>
          <w:tcPr>
            <w:tcW w:type="dxa" w:w="1701"/>
            <w:vAlign w:val="center"/>
          </w:tcPr>
          <w:p>
            <w:r>
              <w:rPr>
                <w:sz w:val="16"/>
              </w:rPr>
              <w:t>Present study</w:t>
            </w:r>
          </w:p>
        </w:tc>
        <w:tc>
          <w:tcPr>
            <w:tcW w:type="dxa" w:w="2268"/>
            <w:vAlign w:val="center"/>
          </w:tcPr>
          <w:p>
            <w:r>
              <w:rPr>
                <w:sz w:val="16"/>
              </w:rPr>
              <w:t>9,404; 32 cancers</w:t>
            </w:r>
          </w:p>
        </w:tc>
        <w:tc>
          <w:tcPr>
            <w:tcW w:type="dxa" w:w="1701"/>
            <w:vAlign w:val="center"/>
          </w:tcPr>
          <w:p>
            <w:r>
              <w:rPr>
                <w:sz w:val="16"/>
              </w:rPr>
              <w:t>11,449</w:t>
            </w:r>
          </w:p>
        </w:tc>
        <w:tc>
          <w:tcPr>
            <w:tcW w:type="dxa" w:w="4252"/>
            <w:vAlign w:val="center"/>
          </w:tcPr>
          <w:p>
            <w:r>
              <w:rPr>
                <w:sz w:val="16"/>
              </w:rPr>
              <w:t>1,614 continuous and 459 binary cancer-endpoint pairs: immune and genomic-context scores; mutations; pathways; MSI; aneuploidy; fusions</w:t>
            </w:r>
          </w:p>
        </w:tc>
        <w:tc>
          <w:tcPr>
            <w:tcW w:type="dxa" w:w="5102"/>
            <w:vAlign w:val="center"/>
          </w:tcPr>
          <w:p>
            <w:r>
              <w:rPr>
                <w:sz w:val="16"/>
              </w:rPr>
              <w:t>One fixed pretrained 768-dimensional TITAN whole-slide representation with PLS1 or PLS-LDA. All eligible diagnostic slides deterministically mean-pooled before outcome matching; one vector and one fold assignment per patient</w:t>
            </w:r>
          </w:p>
        </w:tc>
      </w:tr>
    </w:tbl>
    <w:p/>
    <w:p>
      <w:pPr>
        <w:pStyle w:val="Caption"/>
      </w:pPr>
      <w:r>
        <w:t>Panel B. Validation, site sensitivity, negative-result reporting and predictor availability.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701"/>
          </w:tcPr>
          <w:p>
            <w:r>
              <w:rPr>
                <w:b/>
                <w:sz w:val="17"/>
              </w:rPr>
              <w:t>Study</w:t>
            </w:r>
          </w:p>
        </w:tc>
        <w:tc>
          <w:tcPr>
            <w:tcW w:type="dxa" w:w="2665"/>
          </w:tcPr>
          <w:p>
            <w:r>
              <w:rPr>
                <w:b/>
                <w:sz w:val="17"/>
              </w:rPr>
              <w:t>Validation design</w:t>
            </w:r>
          </w:p>
        </w:tc>
        <w:tc>
          <w:tcPr>
            <w:tcW w:type="dxa" w:w="2154"/>
          </w:tcPr>
          <w:p>
            <w:r>
              <w:rPr>
                <w:b/>
                <w:sz w:val="17"/>
              </w:rPr>
              <w:t>Site sensitivity</w:t>
            </w:r>
          </w:p>
        </w:tc>
        <w:tc>
          <w:tcPr>
            <w:tcW w:type="dxa" w:w="2835"/>
          </w:tcPr>
          <w:p>
            <w:r>
              <w:rPr>
                <w:b/>
                <w:sz w:val="17"/>
              </w:rPr>
              <w:t>External validation</w:t>
            </w:r>
          </w:p>
        </w:tc>
        <w:tc>
          <w:tcPr>
            <w:tcW w:type="dxa" w:w="3118"/>
          </w:tcPr>
          <w:p>
            <w:r>
              <w:rPr>
                <w:b/>
                <w:sz w:val="17"/>
              </w:rPr>
              <w:t>Negative/ineligible reporting</w:t>
            </w:r>
          </w:p>
        </w:tc>
        <w:tc>
          <w:tcPr>
            <w:tcW w:type="dxa" w:w="2551"/>
          </w:tcPr>
          <w:p>
            <w:r>
              <w:rPr>
                <w:b/>
                <w:sz w:val="17"/>
              </w:rPr>
              <w:t>Fitted predictors</w:t>
            </w:r>
          </w:p>
        </w:tc>
      </w:tr>
      <w:tr>
        <w:trPr>
          <w:cantSplit/>
        </w:trPr>
        <w:tc>
          <w:tcPr>
            <w:tcW w:type="dxa" w:w="1701"/>
            <w:vAlign w:val="center"/>
          </w:tcPr>
          <w:p>
            <w:r>
              <w:rPr>
                <w:sz w:val="16"/>
              </w:rPr>
              <w:t>Fu et al. [4]</w:t>
            </w:r>
          </w:p>
        </w:tc>
        <w:tc>
          <w:tcPr>
            <w:tcW w:type="dxa" w:w="2665"/>
            <w:vAlign w:val="center"/>
          </w:tcPr>
          <w:p>
            <w:r>
              <w:rPr>
                <w:sz w:val="16"/>
              </w:rPr>
              <w:t>Internal TCGA analyses; not nested patient-level cross-validation</w:t>
            </w:r>
          </w:p>
        </w:tc>
        <w:tc>
          <w:tcPr>
            <w:tcW w:type="dxa" w:w="2154"/>
            <w:vAlign w:val="center"/>
          </w:tcPr>
          <w:p>
            <w:r>
              <w:rPr>
                <w:sz w:val="16"/>
              </w:rPr>
              <w:t>No target-level tissue-source-site analysis</w:t>
            </w:r>
          </w:p>
        </w:tc>
        <w:tc>
          <w:tcPr>
            <w:tcW w:type="dxa" w:w="2835"/>
            <w:vAlign w:val="center"/>
          </w:tcPr>
          <w:p>
            <w:r>
              <w:rPr>
                <w:sz w:val="16"/>
              </w:rPr>
              <w:t>No independent cohort for the pan-cancer molecular screen; selected breast prognostic analyses used METABRIC</w:t>
            </w:r>
          </w:p>
        </w:tc>
        <w:tc>
          <w:tcPr>
            <w:tcW w:type="dxa" w:w="3118"/>
            <w:vAlign w:val="center"/>
          </w:tcPr>
          <w:p>
            <w:r>
              <w:rPr>
                <w:sz w:val="16"/>
              </w:rPr>
              <w:t>Broad association and performance landscape; no explicit tested-negative versus sample-size-ineligible taxonomy</w:t>
            </w:r>
          </w:p>
        </w:tc>
        <w:tc>
          <w:tcPr>
            <w:tcW w:type="dxa" w:w="2551"/>
            <w:vAlign w:val="center"/>
          </w:tcPr>
          <w:p>
            <w:r>
              <w:rPr>
                <w:sz w:val="16"/>
              </w:rPr>
              <w:t>Code, trained feature extractor and extracted image features released; no target-specific fitted predictor library identified</w:t>
            </w:r>
          </w:p>
        </w:tc>
      </w:tr>
      <w:tr>
        <w:trPr>
          <w:cantSplit/>
        </w:trPr>
        <w:tc>
          <w:tcPr>
            <w:tcW w:type="dxa" w:w="1701"/>
            <w:vAlign w:val="center"/>
          </w:tcPr>
          <w:p>
            <w:r>
              <w:rPr>
                <w:sz w:val="16"/>
              </w:rPr>
              <w:t>Kather et al. [5]</w:t>
            </w:r>
          </w:p>
        </w:tc>
        <w:tc>
          <w:tcPr>
            <w:tcW w:type="dxa" w:w="2665"/>
            <w:vAlign w:val="center"/>
          </w:tcPr>
          <w:p>
            <w:r>
              <w:rPr>
                <w:sz w:val="16"/>
              </w:rPr>
              <w:t>Three-fold patient-level cross-validation</w:t>
            </w:r>
          </w:p>
        </w:tc>
        <w:tc>
          <w:tcPr>
            <w:tcW w:type="dxa" w:w="2154"/>
            <w:vAlign w:val="center"/>
          </w:tcPr>
          <w:p>
            <w:r>
              <w:rPr>
                <w:sz w:val="16"/>
              </w:rPr>
              <w:t>No target-level tissue-source-site analysis</w:t>
            </w:r>
          </w:p>
        </w:tc>
        <w:tc>
          <w:tcPr>
            <w:tcW w:type="dxa" w:w="2835"/>
            <w:vAlign w:val="center"/>
          </w:tcPr>
          <w:p>
            <w:r>
              <w:rPr>
                <w:sz w:val="16"/>
              </w:rPr>
              <w:t>Selected targets externally tested, including BRAF and CIMP in 408 DACHS colorectal cases</w:t>
            </w:r>
          </w:p>
        </w:tc>
        <w:tc>
          <w:tcPr>
            <w:tcW w:type="dxa" w:w="3118"/>
            <w:vAlign w:val="center"/>
          </w:tcPr>
          <w:p>
            <w:r>
              <w:rPr>
                <w:sz w:val="16"/>
              </w:rPr>
              <w:t>Tested-target results and FDR reported; no explicit sample-size-ineligible taxonomy comparable with the present study</w:t>
            </w:r>
          </w:p>
        </w:tc>
        <w:tc>
          <w:tcPr>
            <w:tcW w:type="dxa" w:w="2551"/>
            <w:vAlign w:val="center"/>
          </w:tcPr>
          <w:p>
            <w:r>
              <w:rPr>
                <w:sz w:val="16"/>
              </w:rPr>
              <w:t>Workflow and source code released; no pan-cancer fitted predictor library identified</w:t>
            </w:r>
          </w:p>
        </w:tc>
      </w:tr>
      <w:tr>
        <w:trPr>
          <w:cantSplit/>
        </w:trPr>
        <w:tc>
          <w:tcPr>
            <w:tcW w:type="dxa" w:w="1701"/>
            <w:vAlign w:val="center"/>
          </w:tcPr>
          <w:p>
            <w:r>
              <w:rPr>
                <w:sz w:val="16"/>
              </w:rPr>
              <w:t>Saldanha et al. [11]</w:t>
            </w:r>
          </w:p>
        </w:tc>
        <w:tc>
          <w:tcPr>
            <w:tcW w:type="dxa" w:w="2665"/>
            <w:vAlign w:val="center"/>
          </w:tcPr>
          <w:p>
            <w:r>
              <w:rPr>
                <w:sz w:val="16"/>
              </w:rPr>
              <w:t>Five replicate experiments in TCGA with locked evaluation in CPTAC</w:t>
            </w:r>
          </w:p>
        </w:tc>
        <w:tc>
          <w:tcPr>
            <w:tcW w:type="dxa" w:w="2154"/>
            <w:vAlign w:val="center"/>
          </w:tcPr>
          <w:p>
            <w:r>
              <w:rPr>
                <w:sz w:val="16"/>
              </w:rPr>
              <w:t>No target-level tissue-source-site analysis</w:t>
            </w:r>
          </w:p>
        </w:tc>
        <w:tc>
          <w:tcPr>
            <w:tcW w:type="dxa" w:w="2835"/>
            <w:vAlign w:val="center"/>
          </w:tcPr>
          <w:p>
            <w:r>
              <w:rPr>
                <w:sz w:val="16"/>
              </w:rPr>
              <w:t>Direct TCGA-to-CPTAC testing across seven matched cancers</w:t>
            </w:r>
          </w:p>
        </w:tc>
        <w:tc>
          <w:tcPr>
            <w:tcW w:type="dxa" w:w="3118"/>
            <w:vAlign w:val="center"/>
          </w:tcPr>
          <w:p>
            <w:r>
              <w:rPr>
                <w:sz w:val="16"/>
              </w:rPr>
              <w:t>Analysed-gene outputs reported after a minimum-25-mutant rule; no explicit tested-negative versus ineligible taxonomy</w:t>
            </w:r>
          </w:p>
        </w:tc>
        <w:tc>
          <w:tcPr>
            <w:tcW w:type="dxa" w:w="2551"/>
            <w:vAlign w:val="center"/>
          </w:tcPr>
          <w:p>
            <w:r>
              <w:rPr>
                <w:sz w:val="16"/>
              </w:rPr>
              <w:t>Open-source pipeline released; no fitted pan-cancer predictor library identified</w:t>
            </w:r>
          </w:p>
        </w:tc>
      </w:tr>
      <w:tr>
        <w:trPr>
          <w:cantSplit/>
        </w:trPr>
        <w:tc>
          <w:tcPr>
            <w:tcW w:type="dxa" w:w="1701"/>
            <w:vAlign w:val="center"/>
          </w:tcPr>
          <w:p>
            <w:r>
              <w:rPr>
                <w:sz w:val="16"/>
              </w:rPr>
              <w:t>Arslan et al. [13]</w:t>
            </w:r>
          </w:p>
        </w:tc>
        <w:tc>
          <w:tcPr>
            <w:tcW w:type="dxa" w:w="2665"/>
            <w:vAlign w:val="center"/>
          </w:tcPr>
          <w:p>
            <w:r>
              <w:rPr>
                <w:sz w:val="16"/>
              </w:rPr>
              <w:t>Three-fold patient-level cross-validation; not nested</w:t>
            </w:r>
          </w:p>
        </w:tc>
        <w:tc>
          <w:tcPr>
            <w:tcW w:type="dxa" w:w="2154"/>
            <w:vAlign w:val="center"/>
          </w:tcPr>
          <w:p>
            <w:r>
              <w:rPr>
                <w:sz w:val="16"/>
              </w:rPr>
              <w:t>No target-level tissue-source-site analysis</w:t>
            </w:r>
          </w:p>
        </w:tc>
        <w:tc>
          <w:tcPr>
            <w:tcW w:type="dxa" w:w="2835"/>
            <w:vAlign w:val="center"/>
          </w:tcPr>
          <w:p>
            <w:r>
              <w:rPr>
                <w:sz w:val="16"/>
              </w:rPr>
              <w:t>CPTAC replication for matched subsets; not reported as locked transfer of every TCGA model</w:t>
            </w:r>
          </w:p>
        </w:tc>
        <w:tc>
          <w:tcPr>
            <w:tcW w:type="dxa" w:w="3118"/>
            <w:vAlign w:val="center"/>
          </w:tcPr>
          <w:p>
            <w:r>
              <w:rPr>
                <w:sz w:val="16"/>
              </w:rPr>
              <w:t>Endpoint-level outputs and significance reported; targets with fewer than 10 positives excluded, without a separate tested-negative/ineligible taxonomy</w:t>
            </w:r>
          </w:p>
        </w:tc>
        <w:tc>
          <w:tcPr>
            <w:tcW w:type="dxa" w:w="2551"/>
            <w:vAlign w:val="center"/>
          </w:tcPr>
          <w:p>
            <w:r>
              <w:rPr>
                <w:sz w:val="16"/>
              </w:rPr>
              <w:t>Code and result outputs released; no reusable target-specific fitted model library identified</w:t>
            </w:r>
          </w:p>
        </w:tc>
      </w:tr>
      <w:tr>
        <w:trPr>
          <w:cantSplit/>
        </w:trPr>
        <w:tc>
          <w:tcPr>
            <w:tcW w:type="dxa" w:w="1701"/>
            <w:vAlign w:val="center"/>
          </w:tcPr>
          <w:p>
            <w:r>
              <w:rPr>
                <w:sz w:val="16"/>
              </w:rPr>
              <w:t>Present study</w:t>
            </w:r>
          </w:p>
        </w:tc>
        <w:tc>
          <w:tcPr>
            <w:tcW w:type="dxa" w:w="2665"/>
            <w:vAlign w:val="center"/>
          </w:tcPr>
          <w:p>
            <w:r>
              <w:rPr>
                <w:sz w:val="16"/>
              </w:rPr>
              <w:t>Nested patient-level 5x5 cross-validation; permutations; five independently seeded repeats</w:t>
            </w:r>
          </w:p>
        </w:tc>
        <w:tc>
          <w:tcPr>
            <w:tcW w:type="dxa" w:w="2154"/>
            <w:vAlign w:val="center"/>
          </w:tcPr>
          <w:p>
            <w:r>
              <w:rPr>
                <w:sz w:val="16"/>
              </w:rPr>
              <w:t>Target-level tissue-source-site-grouped sensitivity for every screen-positive model</w:t>
            </w:r>
          </w:p>
        </w:tc>
        <w:tc>
          <w:tcPr>
            <w:tcW w:type="dxa" w:w="2835"/>
            <w:vAlign w:val="center"/>
          </w:tcPr>
          <w:p>
            <w:r>
              <w:rPr>
                <w:sz w:val="16"/>
              </w:rPr>
              <w:t>None; TCGA-only internal validation</w:t>
            </w:r>
          </w:p>
        </w:tc>
        <w:tc>
          <w:tcPr>
            <w:tcW w:type="dxa" w:w="3118"/>
            <w:vAlign w:val="center"/>
          </w:tcPr>
          <w:p>
            <w:r>
              <w:rPr>
                <w:sz w:val="16"/>
              </w:rPr>
              <w:t>Complete machine-readable tested-negative and sample-size-ineligible results with outcome-specific denominators</w:t>
            </w:r>
          </w:p>
        </w:tc>
        <w:tc>
          <w:tcPr>
            <w:tcW w:type="dxa" w:w="2551"/>
            <w:vAlign w:val="center"/>
          </w:tcPr>
          <w:p>
            <w:r>
              <w:rPr>
                <w:sz w:val="16"/>
              </w:rPr>
              <w:t>323 compact research-only fitted PLS and PLS-LDA predictors with feature order, checksums, metadata and inference code; artifacts currently access-controlled and not claimed as publicly released</w:t>
            </w:r>
          </w:p>
        </w:tc>
      </w:tr>
    </w:tbl>
    <w:p/>
    <w:p>
      <w:r>
        <w:t>NR, not reported as a single total in the main article. 'No fitted predictor library identified' means that code or outputs may be public, but the primary report did not describe a reusable target-specific fitted-model collection comparable with TITANPred.</w:t>
      </w:r>
    </w:p>
    <w:p>
      <w:pPr>
        <w:sectPr>
          <w:pgSz w:w="16838" w:h="11906" w:orient="landscape"/>
          <w:pgMar w:top="850" w:right="850" w:bottom="850" w:left="850" w:header="720" w:footer="720" w:gutter="0"/>
          <w:cols w:space="720"/>
          <w:docGrid w:linePitch="360"/>
          <w:lnNumType w:countBy="1" w:restart="continuous"/>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and site-grouped stability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site, scanner and population variation.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site sensitivity.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2).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2.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results were cancer specific: the same endpoint could be predictable in one tumour type and screen-negative in another.</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ranked by the primary screening Q² from the initial nested-CV run. Five-repeat mean repeated-validation estimates are reported separately in the model tables and machine-readable summary. All Q² values are calculated from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and site-grouped stability reported alongside; q-values are not used for ranking.</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among the 87 models with at least 50 positive and 50 negative patients, ranked by primary screening balanced accuracy from the initial nested-CV run. Five-repeat mean repeated-validation estimates are reported separately. Point size represents the number of positive patients; colour indicates endpoint family and symbols report across-cancer correction status. The 17 exploratory/limited-evidence models are excluded from this main panel and shown separately in Supplementary Figure S3.</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3. Highlighted initial-screen and repeated-validation performance, binary reliability and tissue-source-site-grouped internal sensitivity. The primary screening estimate is the initial nested-CV value used for selection, permutation testing and tier assignment. Repeated estimates are means across five additional independently seeded nested-CV partitions. SC interval denotes the 95% selection-conditioned patient-resampling interval for repeated out-of-fold predictions: it resamples patients from five fixed prediction sets without repeating screening, fold generation, tuning or model fitting. Panel A reports both stages explicitly; differences between them are expected resampling variation, not inconsistencies. Panel B adds class-size and prevalence-dependent binary metrics. These intervals, grouped estimates and predictive values are internal to TCGA, not generalisation confidence intervals or external-validation results.</w:t>
      </w:r>
    </w:p>
    <w:p>
      <w:pPr>
        <w:pStyle w:val="Caption"/>
      </w:pPr>
      <w:r>
        <w:t>Panel A. Primary screening and five-repeat validation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r>
              <w:rPr>
                <w:b/>
                <w:sz w:val="17"/>
              </w:rPr>
              <w:t>Cancer–endpoint</w:t>
            </w:r>
          </w:p>
        </w:tc>
        <w:tc>
          <w:tcPr>
            <w:tcW w:type="dxa" w:w="1569"/>
          </w:tcPr>
          <w:p>
            <w:r>
              <w:rPr>
                <w:b/>
                <w:sz w:val="17"/>
              </w:rPr>
              <w:t>Primary screen Q²/BA</w:t>
            </w:r>
          </w:p>
        </w:tc>
        <w:tc>
          <w:tcPr>
            <w:tcW w:type="dxa" w:w="1569"/>
          </w:tcPr>
          <w:p>
            <w:r>
              <w:rPr>
                <w:b/>
                <w:sz w:val="17"/>
              </w:rPr>
              <w:t>Five-repeat Q² or Se/Sp (95% SC interval)</w:t>
            </w:r>
          </w:p>
        </w:tc>
        <w:tc>
          <w:tcPr>
            <w:tcW w:type="dxa" w:w="1569"/>
          </w:tcPr>
          <w:p>
            <w:r>
              <w:rPr>
                <w:b/>
                <w:sz w:val="17"/>
              </w:rPr>
              <w:t>Five-repeat RMSE or BA (95% SC interval)</w:t>
            </w:r>
          </w:p>
        </w:tc>
        <w:tc>
          <w:tcPr>
            <w:tcW w:type="dxa" w:w="1569"/>
          </w:tcPr>
          <w:p>
            <w:r>
              <w:rPr>
                <w:b/>
                <w:sz w:val="17"/>
              </w:rPr>
              <w:t>Five-repeat Spearman or AUROC (95% SC interval)</w:t>
            </w:r>
          </w:p>
        </w:tc>
        <w:tc>
          <w:tcPr>
            <w:tcW w:type="dxa" w:w="1569"/>
          </w:tcPr>
          <w:p>
            <w:r>
              <w:rPr>
                <w:b/>
                <w:sz w:val="17"/>
              </w:rPr>
              <w:t>TSS-grouped metric/status</w:t>
            </w:r>
          </w:p>
        </w:tc>
      </w:tr>
      <w:tr>
        <w:trPr>
          <w:cantSplit/>
        </w:trPr>
        <w:tc>
          <w:tcPr>
            <w:tcW w:type="dxa" w:w="1569"/>
            <w:vAlign w:val="center"/>
          </w:tcPr>
          <w:p>
            <w:r>
              <w:rPr>
                <w:sz w:val="16"/>
              </w:rPr>
              <w:t>TGCT–TGF-beta Response</w:t>
            </w:r>
          </w:p>
        </w:tc>
        <w:tc>
          <w:tcPr>
            <w:tcW w:type="dxa" w:w="1569"/>
            <w:vAlign w:val="center"/>
          </w:tcPr>
          <w:p>
            <w:r>
              <w:rPr>
                <w:sz w:val="16"/>
              </w:rPr>
              <w:t>Q² 0.670</w:t>
            </w:r>
          </w:p>
        </w:tc>
        <w:tc>
          <w:tcPr>
            <w:tcW w:type="dxa" w:w="1569"/>
            <w:vAlign w:val="center"/>
          </w:tcPr>
          <w:p>
            <w:r>
              <w:rPr>
                <w:sz w:val="16"/>
              </w:rPr>
              <w:t>0.670 (0.573–0.741)</w:t>
            </w:r>
          </w:p>
        </w:tc>
        <w:tc>
          <w:tcPr>
            <w:tcW w:type="dxa" w:w="1569"/>
            <w:vAlign w:val="center"/>
          </w:tcPr>
          <w:p>
            <w:r>
              <w:rPr>
                <w:sz w:val="16"/>
              </w:rPr>
              <w:t>0.303 (0.269–0.337)</w:t>
            </w:r>
          </w:p>
        </w:tc>
        <w:tc>
          <w:tcPr>
            <w:tcW w:type="dxa" w:w="1569"/>
            <w:vAlign w:val="center"/>
          </w:tcPr>
          <w:p>
            <w:r>
              <w:rPr>
                <w:sz w:val="16"/>
              </w:rPr>
              <w:t>0.791 (0.713–0.842)</w:t>
            </w:r>
          </w:p>
        </w:tc>
        <w:tc>
          <w:tcPr>
            <w:tcW w:type="dxa" w:w="1569"/>
            <w:vAlign w:val="center"/>
          </w:tcPr>
          <w:p>
            <w:r>
              <w:rPr>
                <w:sz w:val="16"/>
              </w:rPr>
              <w:t xml:space="preserve">Q² NA; </w:t>
            </w:r>
          </w:p>
        </w:tc>
      </w:tr>
      <w:tr>
        <w:trPr>
          <w:cantSplit/>
        </w:trPr>
        <w:tc>
          <w:tcPr>
            <w:tcW w:type="dxa" w:w="1569"/>
            <w:vAlign w:val="center"/>
          </w:tcPr>
          <w:p>
            <w:r>
              <w:rPr>
                <w:sz w:val="16"/>
              </w:rPr>
              <w:t>THYM–Th17 Cells</w:t>
            </w:r>
          </w:p>
        </w:tc>
        <w:tc>
          <w:tcPr>
            <w:tcW w:type="dxa" w:w="1569"/>
            <w:vAlign w:val="center"/>
          </w:tcPr>
          <w:p>
            <w:r>
              <w:rPr>
                <w:sz w:val="16"/>
              </w:rPr>
              <w:t>Q² 0.638</w:t>
            </w:r>
          </w:p>
        </w:tc>
        <w:tc>
          <w:tcPr>
            <w:tcW w:type="dxa" w:w="1569"/>
            <w:vAlign w:val="center"/>
          </w:tcPr>
          <w:p>
            <w:r>
              <w:rPr>
                <w:sz w:val="16"/>
              </w:rPr>
              <w:t>0.594 (0.455–0.698)</w:t>
            </w:r>
          </w:p>
        </w:tc>
        <w:tc>
          <w:tcPr>
            <w:tcW w:type="dxa" w:w="1569"/>
            <w:vAlign w:val="center"/>
          </w:tcPr>
          <w:p>
            <w:r>
              <w:rPr>
                <w:sz w:val="16"/>
              </w:rPr>
              <w:t>1743.443 (1514.535–1979.481)</w:t>
            </w:r>
          </w:p>
        </w:tc>
        <w:tc>
          <w:tcPr>
            <w:tcW w:type="dxa" w:w="1569"/>
            <w:vAlign w:val="center"/>
          </w:tcPr>
          <w:p>
            <w:r>
              <w:rPr>
                <w:sz w:val="16"/>
              </w:rPr>
              <w:t>0.738 (0.636–0.811)</w:t>
            </w:r>
          </w:p>
        </w:tc>
        <w:tc>
          <w:tcPr>
            <w:tcW w:type="dxa" w:w="1569"/>
            <w:vAlign w:val="center"/>
          </w:tcPr>
          <w:p>
            <w:r>
              <w:rPr>
                <w:sz w:val="16"/>
              </w:rPr>
              <w:t xml:space="preserve">Q² NA; </w:t>
            </w:r>
          </w:p>
        </w:tc>
      </w:tr>
      <w:tr>
        <w:trPr>
          <w:cantSplit/>
        </w:trPr>
        <w:tc>
          <w:tcPr>
            <w:tcW w:type="dxa" w:w="1569"/>
            <w:vAlign w:val="center"/>
          </w:tcPr>
          <w:p>
            <w:r>
              <w:rPr>
                <w:sz w:val="16"/>
              </w:rPr>
              <w:t>THCA–Lymphocyte Infiltration Signature Score</w:t>
            </w:r>
          </w:p>
        </w:tc>
        <w:tc>
          <w:tcPr>
            <w:tcW w:type="dxa" w:w="1569"/>
            <w:vAlign w:val="center"/>
          </w:tcPr>
          <w:p>
            <w:r>
              <w:rPr>
                <w:sz w:val="16"/>
              </w:rPr>
              <w:t>Q² 0.580</w:t>
            </w:r>
          </w:p>
        </w:tc>
        <w:tc>
          <w:tcPr>
            <w:tcW w:type="dxa" w:w="1569"/>
            <w:vAlign w:val="center"/>
          </w:tcPr>
          <w:p>
            <w:r>
              <w:rPr>
                <w:sz w:val="16"/>
              </w:rPr>
              <w:t>0.577 (0.511–0.636)</w:t>
            </w:r>
          </w:p>
        </w:tc>
        <w:tc>
          <w:tcPr>
            <w:tcW w:type="dxa" w:w="1569"/>
            <w:vAlign w:val="center"/>
          </w:tcPr>
          <w:p>
            <w:r>
              <w:rPr>
                <w:sz w:val="16"/>
              </w:rPr>
              <w:t>0.781 (0.722–0.844)</w:t>
            </w:r>
          </w:p>
        </w:tc>
        <w:tc>
          <w:tcPr>
            <w:tcW w:type="dxa" w:w="1569"/>
            <w:vAlign w:val="center"/>
          </w:tcPr>
          <w:p>
            <w:r>
              <w:rPr>
                <w:sz w:val="16"/>
              </w:rPr>
              <w:t>0.742 (0.693–0.786)</w:t>
            </w:r>
          </w:p>
        </w:tc>
        <w:tc>
          <w:tcPr>
            <w:tcW w:type="dxa" w:w="1569"/>
            <w:vAlign w:val="center"/>
          </w:tcPr>
          <w:p>
            <w:r>
              <w:rPr>
                <w:sz w:val="16"/>
              </w:rPr>
              <w:t xml:space="preserve">Q² NA; </w:t>
            </w:r>
          </w:p>
        </w:tc>
      </w:tr>
      <w:tr>
        <w:trPr>
          <w:cantSplit/>
        </w:trPr>
        <w:tc>
          <w:tcPr>
            <w:tcW w:type="dxa" w:w="1569"/>
            <w:vAlign w:val="center"/>
          </w:tcPr>
          <w:p>
            <w:r>
              <w:rPr>
                <w:sz w:val="16"/>
              </w:rPr>
              <w:t>BRCA–Wound Healing</w:t>
            </w:r>
          </w:p>
        </w:tc>
        <w:tc>
          <w:tcPr>
            <w:tcW w:type="dxa" w:w="1569"/>
            <w:vAlign w:val="center"/>
          </w:tcPr>
          <w:p>
            <w:r>
              <w:rPr>
                <w:sz w:val="16"/>
              </w:rPr>
              <w:t>Q² 0.527</w:t>
            </w:r>
          </w:p>
        </w:tc>
        <w:tc>
          <w:tcPr>
            <w:tcW w:type="dxa" w:w="1569"/>
            <w:vAlign w:val="center"/>
          </w:tcPr>
          <w:p>
            <w:r>
              <w:rPr>
                <w:sz w:val="16"/>
              </w:rPr>
              <w:t>0.528 (0.483–0.569)</w:t>
            </w:r>
          </w:p>
        </w:tc>
        <w:tc>
          <w:tcPr>
            <w:tcW w:type="dxa" w:w="1569"/>
            <w:vAlign w:val="center"/>
          </w:tcPr>
          <w:p>
            <w:r>
              <w:rPr>
                <w:sz w:val="16"/>
              </w:rPr>
              <w:t>0.111 (0.106–0.116)</w:t>
            </w:r>
          </w:p>
        </w:tc>
        <w:tc>
          <w:tcPr>
            <w:tcW w:type="dxa" w:w="1569"/>
            <w:vAlign w:val="center"/>
          </w:tcPr>
          <w:p>
            <w:r>
              <w:rPr>
                <w:sz w:val="16"/>
              </w:rPr>
              <w:t>0.724 (0.694–0.753)</w:t>
            </w:r>
          </w:p>
        </w:tc>
        <w:tc>
          <w:tcPr>
            <w:tcW w:type="dxa" w:w="1569"/>
            <w:vAlign w:val="center"/>
          </w:tcPr>
          <w:p>
            <w:r>
              <w:rPr>
                <w:sz w:val="16"/>
              </w:rPr>
              <w:t xml:space="preserve">Q² NA; </w:t>
            </w:r>
          </w:p>
        </w:tc>
      </w:tr>
      <w:tr>
        <w:trPr>
          <w:cantSplit/>
        </w:trPr>
        <w:tc>
          <w:tcPr>
            <w:tcW w:type="dxa" w:w="1569"/>
            <w:vAlign w:val="center"/>
          </w:tcPr>
          <w:p>
            <w:r>
              <w:rPr>
                <w:sz w:val="16"/>
              </w:rPr>
              <w:t>LGG–TP53</w:t>
            </w:r>
          </w:p>
        </w:tc>
        <w:tc>
          <w:tcPr>
            <w:tcW w:type="dxa" w:w="1569"/>
            <w:vAlign w:val="center"/>
          </w:tcPr>
          <w:p>
            <w:r>
              <w:rPr>
                <w:sz w:val="16"/>
              </w:rPr>
              <w:t>BA 0.846</w:t>
            </w:r>
          </w:p>
        </w:tc>
        <w:tc>
          <w:tcPr>
            <w:tcW w:type="dxa" w:w="1569"/>
            <w:vAlign w:val="center"/>
          </w:tcPr>
          <w:p>
            <w:r>
              <w:rPr>
                <w:sz w:val="16"/>
              </w:rPr>
              <w:t>Se 0.839 (0.795–0.877); Sp 0.885 (0.848–0.920)</w:t>
            </w:r>
          </w:p>
        </w:tc>
        <w:tc>
          <w:tcPr>
            <w:tcW w:type="dxa" w:w="1569"/>
            <w:vAlign w:val="center"/>
          </w:tcPr>
          <w:p>
            <w:r>
              <w:rPr>
                <w:sz w:val="16"/>
              </w:rPr>
              <w:t>BA 0.862 (0.833–0.888)</w:t>
            </w:r>
          </w:p>
        </w:tc>
        <w:tc>
          <w:tcPr>
            <w:tcW w:type="dxa" w:w="1569"/>
            <w:vAlign w:val="center"/>
          </w:tcPr>
          <w:p>
            <w:r>
              <w:rPr>
                <w:sz w:val="16"/>
              </w:rPr>
              <w:t>AUROC 0.908 (0.880–0.932)</w:t>
            </w:r>
          </w:p>
        </w:tc>
        <w:tc>
          <w:tcPr>
            <w:tcW w:type="dxa" w:w="1569"/>
            <w:vAlign w:val="center"/>
          </w:tcPr>
          <w:p>
            <w:r>
              <w:rPr>
                <w:sz w:val="16"/>
              </w:rPr>
              <w:t xml:space="preserve">BA NA; </w:t>
            </w:r>
          </w:p>
        </w:tc>
      </w:tr>
      <w:tr>
        <w:trPr>
          <w:cantSplit/>
        </w:trPr>
        <w:tc>
          <w:tcPr>
            <w:tcW w:type="dxa" w:w="1569"/>
            <w:vAlign w:val="center"/>
          </w:tcPr>
          <w:p>
            <w:r>
              <w:rPr>
                <w:sz w:val="16"/>
              </w:rPr>
              <w:t>THYM–GTF2I</w:t>
            </w:r>
          </w:p>
        </w:tc>
        <w:tc>
          <w:tcPr>
            <w:tcW w:type="dxa" w:w="1569"/>
            <w:vAlign w:val="center"/>
          </w:tcPr>
          <w:p>
            <w:r>
              <w:rPr>
                <w:sz w:val="16"/>
              </w:rPr>
              <w:t>BA 0.883</w:t>
            </w:r>
          </w:p>
        </w:tc>
        <w:tc>
          <w:tcPr>
            <w:tcW w:type="dxa" w:w="1569"/>
            <w:vAlign w:val="center"/>
          </w:tcPr>
          <w:p>
            <w:r>
              <w:rPr>
                <w:sz w:val="16"/>
              </w:rPr>
              <w:t>Se 0.878 (0.804–0.940); Sp 0.839 (0.748–0.916)</w:t>
            </w:r>
          </w:p>
        </w:tc>
        <w:tc>
          <w:tcPr>
            <w:tcW w:type="dxa" w:w="1569"/>
            <w:vAlign w:val="center"/>
          </w:tcPr>
          <w:p>
            <w:r>
              <w:rPr>
                <w:sz w:val="16"/>
              </w:rPr>
              <w:t>BA 0.859 (0.803–0.905)</w:t>
            </w:r>
          </w:p>
        </w:tc>
        <w:tc>
          <w:tcPr>
            <w:tcW w:type="dxa" w:w="1569"/>
            <w:vAlign w:val="center"/>
          </w:tcPr>
          <w:p>
            <w:r>
              <w:rPr>
                <w:sz w:val="16"/>
              </w:rPr>
              <w:t>AUROC 0.907 (0.852–0.955)</w:t>
            </w:r>
          </w:p>
        </w:tc>
        <w:tc>
          <w:tcPr>
            <w:tcW w:type="dxa" w:w="1569"/>
            <w:vAlign w:val="center"/>
          </w:tcPr>
          <w:p>
            <w:r>
              <w:rPr>
                <w:sz w:val="16"/>
              </w:rPr>
              <w:t xml:space="preserve">BA NA; </w:t>
            </w:r>
          </w:p>
        </w:tc>
      </w:tr>
      <w:tr>
        <w:trPr>
          <w:cantSplit/>
        </w:trPr>
        <w:tc>
          <w:tcPr>
            <w:tcW w:type="dxa" w:w="1569"/>
            <w:vAlign w:val="center"/>
          </w:tcPr>
          <w:p>
            <w:r>
              <w:rPr>
                <w:sz w:val="16"/>
              </w:rPr>
              <w:t>READ–TP53</w:t>
            </w:r>
          </w:p>
        </w:tc>
        <w:tc>
          <w:tcPr>
            <w:tcW w:type="dxa" w:w="1569"/>
            <w:vAlign w:val="center"/>
          </w:tcPr>
          <w:p>
            <w:r>
              <w:rPr>
                <w:sz w:val="16"/>
              </w:rPr>
              <w:t>BA 0.861</w:t>
            </w:r>
          </w:p>
        </w:tc>
        <w:tc>
          <w:tcPr>
            <w:tcW w:type="dxa" w:w="1569"/>
            <w:vAlign w:val="center"/>
          </w:tcPr>
          <w:p>
            <w:r>
              <w:rPr>
                <w:sz w:val="16"/>
              </w:rPr>
              <w:t>Se 0.912 (0.855–0.966); Sp 0.803 (0.704–0.890)</w:t>
            </w:r>
          </w:p>
        </w:tc>
        <w:tc>
          <w:tcPr>
            <w:tcW w:type="dxa" w:w="1569"/>
            <w:vAlign w:val="center"/>
          </w:tcPr>
          <w:p>
            <w:r>
              <w:rPr>
                <w:sz w:val="16"/>
              </w:rPr>
              <w:t>BA 0.858 (0.801–0.910)</w:t>
            </w:r>
          </w:p>
        </w:tc>
        <w:tc>
          <w:tcPr>
            <w:tcW w:type="dxa" w:w="1569"/>
            <w:vAlign w:val="center"/>
          </w:tcPr>
          <w:p>
            <w:r>
              <w:rPr>
                <w:sz w:val="16"/>
              </w:rPr>
              <w:t>AUROC 0.912 (0.860–0.956)</w:t>
            </w:r>
          </w:p>
        </w:tc>
        <w:tc>
          <w:tcPr>
            <w:tcW w:type="dxa" w:w="1569"/>
            <w:vAlign w:val="center"/>
          </w:tcPr>
          <w:p>
            <w:r>
              <w:rPr>
                <w:sz w:val="16"/>
              </w:rPr>
              <w:t xml:space="preserve">BA NA; </w:t>
            </w:r>
          </w:p>
        </w:tc>
      </w:tr>
      <w:tr>
        <w:trPr>
          <w:cantSplit/>
        </w:trPr>
        <w:tc>
          <w:tcPr>
            <w:tcW w:type="dxa" w:w="1569"/>
            <w:vAlign w:val="center"/>
          </w:tcPr>
          <w:p>
            <w:r>
              <w:rPr>
                <w:sz w:val="16"/>
              </w:rPr>
              <w:t>THCA–BRAF</w:t>
            </w:r>
          </w:p>
        </w:tc>
        <w:tc>
          <w:tcPr>
            <w:tcW w:type="dxa" w:w="1569"/>
            <w:vAlign w:val="center"/>
          </w:tcPr>
          <w:p>
            <w:r>
              <w:rPr>
                <w:sz w:val="16"/>
              </w:rPr>
              <w:t>BA 0.830</w:t>
            </w:r>
          </w:p>
        </w:tc>
        <w:tc>
          <w:tcPr>
            <w:tcW w:type="dxa" w:w="1569"/>
            <w:vAlign w:val="center"/>
          </w:tcPr>
          <w:p>
            <w:r>
              <w:rPr>
                <w:sz w:val="16"/>
              </w:rPr>
              <w:t>Se 0.926 (0.897–0.952); Sp 0.747 (0.688–0.801)</w:t>
            </w:r>
          </w:p>
        </w:tc>
        <w:tc>
          <w:tcPr>
            <w:tcW w:type="dxa" w:w="1569"/>
            <w:vAlign w:val="center"/>
          </w:tcPr>
          <w:p>
            <w:r>
              <w:rPr>
                <w:sz w:val="16"/>
              </w:rPr>
              <w:t>BA 0.837 (0.805–0.866)</w:t>
            </w:r>
          </w:p>
        </w:tc>
        <w:tc>
          <w:tcPr>
            <w:tcW w:type="dxa" w:w="1569"/>
            <w:vAlign w:val="center"/>
          </w:tcPr>
          <w:p>
            <w:r>
              <w:rPr>
                <w:sz w:val="16"/>
              </w:rPr>
              <w:t>AUROC 0.894 (0.862–0.924)</w:t>
            </w:r>
          </w:p>
        </w:tc>
        <w:tc>
          <w:tcPr>
            <w:tcW w:type="dxa" w:w="1569"/>
            <w:vAlign w:val="center"/>
          </w:tcPr>
          <w:p>
            <w:r>
              <w:rPr>
                <w:sz w:val="16"/>
              </w:rPr>
              <w:t xml:space="preserve">BA NA; </w:t>
            </w:r>
          </w:p>
        </w:tc>
      </w:tr>
    </w:tbl>
    <w:p/>
    <w:p>
      <w:pPr>
        <w:pStyle w:val="Caption"/>
      </w:pPr>
      <w:r>
        <w:t>Panel B. Binary class-size and prevalence-dependent reliability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2098"/>
          </w:tcPr>
          <w:p>
            <w:r>
              <w:rPr>
                <w:b/>
                <w:sz w:val="17"/>
              </w:rPr>
              <w:t>Cancer–endpoint</w:t>
            </w:r>
          </w:p>
        </w:tc>
        <w:tc>
          <w:tcPr>
            <w:tcW w:type="dxa" w:w="850"/>
          </w:tcPr>
          <w:p>
            <w:r>
              <w:rPr>
                <w:b/>
                <w:sz w:val="17"/>
              </w:rPr>
              <w:t>+/−</w:t>
            </w:r>
          </w:p>
        </w:tc>
        <w:tc>
          <w:tcPr>
            <w:tcW w:type="dxa" w:w="1701"/>
          </w:tcPr>
          <w:p>
            <w:r>
              <w:rPr>
                <w:b/>
                <w:sz w:val="17"/>
              </w:rPr>
              <w:t>PR-AUC (95% SC interval)</w:t>
            </w:r>
          </w:p>
        </w:tc>
        <w:tc>
          <w:tcPr>
            <w:tcW w:type="dxa" w:w="1871"/>
          </w:tcPr>
          <w:p>
            <w:r>
              <w:rPr>
                <w:b/>
                <w:sz w:val="17"/>
              </w:rPr>
              <w:t>PPV at TCGA prevalence (95% SC interval)</w:t>
            </w:r>
          </w:p>
        </w:tc>
        <w:tc>
          <w:tcPr>
            <w:tcW w:type="dxa" w:w="1871"/>
          </w:tcPr>
          <w:p>
            <w:r>
              <w:rPr>
                <w:b/>
                <w:sz w:val="17"/>
              </w:rPr>
              <w:t>NPV at TCGA prevalence (95% SC interval)</w:t>
            </w:r>
          </w:p>
        </w:tc>
        <w:tc>
          <w:tcPr>
            <w:tcW w:type="dxa" w:w="1984"/>
          </w:tcPr>
          <w:p>
            <w:r>
              <w:rPr>
                <w:b/>
                <w:sz w:val="17"/>
              </w:rPr>
              <w:t>Evidence/default</w:t>
            </w:r>
          </w:p>
        </w:tc>
      </w:tr>
      <w:tr>
        <w:trPr>
          <w:cantSplit/>
        </w:trPr>
        <w:tc>
          <w:tcPr>
            <w:tcW w:type="dxa" w:w="2098"/>
            <w:vAlign w:val="center"/>
          </w:tcPr>
          <w:p>
            <w:r>
              <w:rPr>
                <w:sz w:val="16"/>
              </w:rPr>
              <w:t>LGG–TP53</w:t>
            </w:r>
          </w:p>
        </w:tc>
        <w:tc>
          <w:tcPr>
            <w:tcW w:type="dxa" w:w="850"/>
            <w:vAlign w:val="center"/>
          </w:tcPr>
          <w:p>
            <w:r>
              <w:rPr>
                <w:sz w:val="16"/>
              </w:rPr>
              <w:t>232/253</w:t>
            </w:r>
          </w:p>
        </w:tc>
        <w:tc>
          <w:tcPr>
            <w:tcW w:type="dxa" w:w="1701"/>
            <w:vAlign w:val="center"/>
          </w:tcPr>
          <w:p>
            <w:r>
              <w:rPr>
                <w:sz w:val="16"/>
              </w:rPr>
              <w:t>0.880 (0.831–0.926)</w:t>
            </w:r>
          </w:p>
        </w:tc>
        <w:tc>
          <w:tcPr>
            <w:tcW w:type="dxa" w:w="1871"/>
            <w:vAlign w:val="center"/>
          </w:tcPr>
          <w:p>
            <w:r>
              <w:rPr>
                <w:sz w:val="16"/>
              </w:rPr>
              <w:t>0.870 (0.825–0.906)</w:t>
            </w:r>
          </w:p>
        </w:tc>
        <w:tc>
          <w:tcPr>
            <w:tcW w:type="dxa" w:w="1871"/>
            <w:vAlign w:val="center"/>
          </w:tcPr>
          <w:p>
            <w:r>
              <w:rPr>
                <w:sz w:val="16"/>
              </w:rPr>
              <w:t>0.857 (0.818–0.893)</w:t>
            </w:r>
          </w:p>
        </w:tc>
        <w:tc>
          <w:tcPr>
            <w:tcW w:type="dxa" w:w="1984"/>
            <w:vAlign w:val="center"/>
          </w:tcPr>
          <w:p>
            <w:r>
              <w:rPr>
                <w:sz w:val="16"/>
              </w:rPr>
              <w:t>standard internal evidence; included</w:t>
            </w:r>
          </w:p>
        </w:tc>
      </w:tr>
      <w:tr>
        <w:trPr>
          <w:cantSplit/>
        </w:trPr>
        <w:tc>
          <w:tcPr>
            <w:tcW w:type="dxa" w:w="2098"/>
            <w:vAlign w:val="center"/>
          </w:tcPr>
          <w:p>
            <w:r>
              <w:rPr>
                <w:sz w:val="16"/>
              </w:rPr>
              <w:t>THYM–GTF2I</w:t>
            </w:r>
          </w:p>
        </w:tc>
        <w:tc>
          <w:tcPr>
            <w:tcW w:type="dxa" w:w="850"/>
            <w:vAlign w:val="center"/>
          </w:tcPr>
          <w:p>
            <w:r>
              <w:rPr>
                <w:sz w:val="16"/>
              </w:rPr>
              <w:t>59/61</w:t>
            </w:r>
          </w:p>
        </w:tc>
        <w:tc>
          <w:tcPr>
            <w:tcW w:type="dxa" w:w="1701"/>
            <w:vAlign w:val="center"/>
          </w:tcPr>
          <w:p>
            <w:r>
              <w:rPr>
                <w:sz w:val="16"/>
              </w:rPr>
              <w:t>0.873 (0.794–0.947)</w:t>
            </w:r>
          </w:p>
        </w:tc>
        <w:tc>
          <w:tcPr>
            <w:tcW w:type="dxa" w:w="1871"/>
            <w:vAlign w:val="center"/>
          </w:tcPr>
          <w:p>
            <w:r>
              <w:rPr>
                <w:sz w:val="16"/>
              </w:rPr>
              <w:t>0.841 (0.756–0.918)</w:t>
            </w:r>
          </w:p>
        </w:tc>
        <w:tc>
          <w:tcPr>
            <w:tcW w:type="dxa" w:w="1871"/>
            <w:vAlign w:val="center"/>
          </w:tcPr>
          <w:p>
            <w:r>
              <w:rPr>
                <w:sz w:val="16"/>
              </w:rPr>
              <w:t>0.877 (0.791–0.942)</w:t>
            </w:r>
          </w:p>
        </w:tc>
        <w:tc>
          <w:tcPr>
            <w:tcW w:type="dxa" w:w="1984"/>
            <w:vAlign w:val="center"/>
          </w:tcPr>
          <w:p>
            <w:r>
              <w:rPr>
                <w:sz w:val="16"/>
              </w:rPr>
              <w:t>standard internal evidence; included</w:t>
            </w:r>
          </w:p>
        </w:tc>
      </w:tr>
      <w:tr>
        <w:trPr>
          <w:cantSplit/>
        </w:trPr>
        <w:tc>
          <w:tcPr>
            <w:tcW w:type="dxa" w:w="2098"/>
            <w:vAlign w:val="center"/>
          </w:tcPr>
          <w:p>
            <w:r>
              <w:rPr>
                <w:sz w:val="16"/>
              </w:rPr>
              <w:t>READ–TP53</w:t>
            </w:r>
          </w:p>
        </w:tc>
        <w:tc>
          <w:tcPr>
            <w:tcW w:type="dxa" w:w="850"/>
            <w:vAlign w:val="center"/>
          </w:tcPr>
          <w:p>
            <w:r>
              <w:rPr>
                <w:sz w:val="16"/>
              </w:rPr>
              <w:t>66/69</w:t>
            </w:r>
          </w:p>
        </w:tc>
        <w:tc>
          <w:tcPr>
            <w:tcW w:type="dxa" w:w="1701"/>
            <w:vAlign w:val="center"/>
          </w:tcPr>
          <w:p>
            <w:r>
              <w:rPr>
                <w:sz w:val="16"/>
              </w:rPr>
              <w:t>0.870 (0.785–0.954)</w:t>
            </w:r>
          </w:p>
        </w:tc>
        <w:tc>
          <w:tcPr>
            <w:tcW w:type="dxa" w:w="1871"/>
            <w:vAlign w:val="center"/>
          </w:tcPr>
          <w:p>
            <w:r>
              <w:rPr>
                <w:sz w:val="16"/>
              </w:rPr>
              <w:t>0.816 (0.726–0.905)</w:t>
            </w:r>
          </w:p>
        </w:tc>
        <w:tc>
          <w:tcPr>
            <w:tcW w:type="dxa" w:w="1871"/>
            <w:vAlign w:val="center"/>
          </w:tcPr>
          <w:p>
            <w:r>
              <w:rPr>
                <w:sz w:val="16"/>
              </w:rPr>
              <w:t>0.906 (0.838–0.964)</w:t>
            </w:r>
          </w:p>
        </w:tc>
        <w:tc>
          <w:tcPr>
            <w:tcW w:type="dxa" w:w="1984"/>
            <w:vAlign w:val="center"/>
          </w:tcPr>
          <w:p>
            <w:r>
              <w:rPr>
                <w:sz w:val="16"/>
              </w:rPr>
              <w:t>standard internal evidence; included</w:t>
            </w:r>
          </w:p>
        </w:tc>
      </w:tr>
      <w:tr>
        <w:trPr>
          <w:cantSplit/>
        </w:trPr>
        <w:tc>
          <w:tcPr>
            <w:tcW w:type="dxa" w:w="2098"/>
            <w:vAlign w:val="center"/>
          </w:tcPr>
          <w:p>
            <w:r>
              <w:rPr>
                <w:sz w:val="16"/>
              </w:rPr>
              <w:t>THCA–BRAF</w:t>
            </w:r>
          </w:p>
        </w:tc>
        <w:tc>
          <w:tcPr>
            <w:tcW w:type="dxa" w:w="850"/>
            <w:vAlign w:val="center"/>
          </w:tcPr>
          <w:p>
            <w:r>
              <w:rPr>
                <w:sz w:val="16"/>
              </w:rPr>
              <w:t>289/201</w:t>
            </w:r>
          </w:p>
        </w:tc>
        <w:tc>
          <w:tcPr>
            <w:tcW w:type="dxa" w:w="1701"/>
            <w:vAlign w:val="center"/>
          </w:tcPr>
          <w:p>
            <w:r>
              <w:rPr>
                <w:sz w:val="16"/>
              </w:rPr>
              <w:t>0.899 (0.859–0.936)</w:t>
            </w:r>
          </w:p>
        </w:tc>
        <w:tc>
          <w:tcPr>
            <w:tcW w:type="dxa" w:w="1871"/>
            <w:vAlign w:val="center"/>
          </w:tcPr>
          <w:p>
            <w:r>
              <w:rPr>
                <w:sz w:val="16"/>
              </w:rPr>
              <w:t>0.840 (0.800–0.877)</w:t>
            </w:r>
          </w:p>
        </w:tc>
        <w:tc>
          <w:tcPr>
            <w:tcW w:type="dxa" w:w="1871"/>
            <w:vAlign w:val="center"/>
          </w:tcPr>
          <w:p>
            <w:r>
              <w:rPr>
                <w:sz w:val="16"/>
              </w:rPr>
              <w:t>0.876 (0.826–0.920)</w:t>
            </w:r>
          </w:p>
        </w:tc>
        <w:tc>
          <w:tcPr>
            <w:tcW w:type="dxa" w:w="1984"/>
            <w:vAlign w:val="center"/>
          </w:tcPr>
          <w:p>
            <w:r>
              <w:rPr>
                <w:sz w:val="16"/>
              </w:rPr>
              <w:t>standard internal evidence; included</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519523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5195236"/>
                    </a:xfrm>
                    <a:prstGeom prst="rect"/>
                  </pic:spPr>
                </pic:pic>
              </a:graphicData>
            </a:graphic>
          </wp:inline>
        </w:drawing>
      </w:r>
    </w:p>
    <w:p>
      <w:pPr>
        <w:pStyle w:val="Caption"/>
        <w:jc w:val="center"/>
      </w:pPr>
      <w:r>
        <w:t>Figure 6. Tissue-source-site sensitivity as a principal result. Panel A compares random-fold and tissue-source-site-grouped internal performance for all 323 screen-positive models; Panel B names the largest attenuations; Panel C quantifies within-cancer prediction of tissue-source site from TITAN representations. Grouping is internal to TCGA, and tissue-source site is an imperfect proxy rather than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4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4.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interface and COAD radar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Default inference exposes 306 models; the 17 limited-evidence binary models require explicit opt-in. Every binary display uses the adjacent label 'TCGA OOF score rank (not probability)' and places training positive/negative counts, prevalence, repeated-CV balanced accuracy, AUROC, PR-AUC, TCGA-prevalence PPV/NPV, fold minima, component variability, repeat stability,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 A prominent report banner states that the output lacks independent external validation, is uncalibrated for probability and is not for diagnosis, treatment selection or clinical-risk estimation. The package provides a synthetic feature vector constructed from stored training-feature means for interface examples and smoke tests; it is explicitly labelled as not being a patient record.</w:t>
      </w:r>
    </w:p>
    <w:p>
      <w:r>
        <w:t>Two COAD participants, TCGA-AA-A01F and TCGA-AA-3972, are retained solely to show the radar and binary-output interface (Figure 7). The pair was chosen post hoc after clinical-text and profile-saturation restrictions and then maximising Euclidean separation across continuous TCGA OOF prediction percentiles;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 visualization example, not performance, prevalence, prognosis or treatment-response evidence.</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Post hoc TITANPred research-software visualization for two COAD participants. Panels A and B show internally derived full-cohort TCGA continuous estimates for TCGA-AA-A01F and TCGA-AA-3972; every radar corner gives the TCGA OOF prediction percentile and original estimate. Panel C shows PLS-LDA calls with the adjacent label 'TCGA OOF score rank (not probability)' and development class counts. The pair was selected after clinical-text and saturation restrictions by maximising continuous-profile separation, intentionally enhancing visual contrast. Treatment and outcomes are not displayed. The figure is an interface illustration, not probability-calibrated output, external validation, representative case sampling, prognosis or treatment-response evidence.</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prespecified screening-statistic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instead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Table 1 makes these distinctions explicit and prevents breadth or endpoint novelty from being inferred from the study framing.</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Tissue-source-site sensitivity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radar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