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New main-text Table 1 compares patients, slides, endpoint classes, representation, patient aggregation, validation, site sensitivity, external validation, negative/ineligible reporting and fitted-predictor availability. The abstract and Discussion now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 The comparison is also released as data/reference/pan_cancer_benchmark_comparison.csv.</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tissue-source-site-grouped results; the largest target-level attenuations, including READ–APC (balanced accuracy 0.862 to 0.495) and COAD–APC (0.793 to 0.543); and the new within-cancer tissue-source-site prediction analysis. Main Table 3 now reports the grouped metric and warning status beside every highlighted model. The public analysis registry and access-controlled TITANPred registry contain the grouped metric, delta, number of sites, threshold-retention flag, near-chance flag, validation scope and warning for all 323 models; inference outputs and reports display these fields and prominently warn about site-sensitive models. We report that 83/323 models (25.7%) fell below the original threshold: 58/219 continuous and 25/104 binary. The fold audit provides all 1,613 outer-fold compositions with test/training patients, sites, positive and negative cases, site identifiers and seeds; selected APC folds appear in Table S10c. We confirmed from both the implementation and deterministic fold reconstruction that the tissue-source-site constraint was passed to inner component selection as well as outer evaluation, with no site overlap. In the new five-repeat nested PLS–LDA analysis, TITAN predicted tissue-source site in 27/32 evaluable cancers; median multiclass macro balanced accuracy was 0.628. We consistently call the endpoint sensitivity 'TCGA tissue-source-site-grouped internal validation' and state that tissue-source site is an imperfect proxy; neither retained performance nor site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the outcome-appropriate predictive metric, with repeated and site-grouped stability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external-site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endpoint meeting the prespecified screening-statistic threshold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new main-text Table 4, Supplementary Table S6c, docs/EXTERNAL_VALIDATION_PROTOCOL.md and data/reference/external_validation_locked_targets.csv.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Tissue-source-site-grouped validation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Effect terminology</w:t>
      </w:r>
    </w:p>
    <w:p>
      <w:r>
        <w:t>Agreed. We replaced 'higher effect' and 'moderate effect' throughout the manuscript, figures, tables, software report and machine-readable performance summary with the neutral labels 'prespecified screening tier A' and 'prespecified screening tier B'. The Methods define tier A as primary q&lt;0.05 with Q²≥0.40 for continuous outcomes or balanced accuracy≥0.70 for binary outcomes, and tier B as primary q&lt;0.05 with Q² from 0.20 to &lt;0.40 or balanced accuracy from 0.60 to &lt;0.70. We state explicitly that these are prioritisation rules, not established clinical or statistical effect categories, and that Q² and 2×balanced accuracy−1 are not interpreted as directly commensurate. The abstract, Results and Discussion also report that 219 continuous and 39 cancer–mutation pairs passed the across-cancer family correction and that 320/323 local candidates passed a single BH correction across all eligible atlas tests.</w:t>
      </w:r>
    </w:p>
    <w:p>
      <w:pPr>
        <w:pStyle w:val="Heading1"/>
      </w:pPr>
      <w:r>
        <w:t>Primary versus repeated estimates</w:t>
      </w:r>
    </w:p>
    <w:p>
      <w:r>
        <w:t>Agreed and clarified throughout. We now reserve 'primary screening estimate' for the initial nested-CV value used for candidate selection, permutation testing and tier assignment, and 'repeated-validation estimate' for the arithmetic mean across five additional independently seeded nested-CV partitions. The Methods explain that different folds and rSVD seeds make numerical differences expected and that the repeated estimate describes post-selection stability without replacing the primary screen. THYM–Th17 is stated explicitly as primary screening Q²=0.638 versus five-repeat mean Q²=0.594. Main Table 3 presents both estimates side by side; the abstract, Results, figure captions and Supplementary Tables S6a–S10b label the relevant stage. Machine-readable summaries include explicit primary-screen fields, repeated fields, estimate labels and the repeated-minus-primary difference.</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