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bottomFromText="28" w:vertAnchor="text" w:tblpYSpec="top"/>
        <w:tblW w:w="964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5"/>
      </w:tblGrid>
      <w:tr>
        <w:trPr>
          <w:trHeight w:val="9717"/>
        </w:trP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f3"/>
            </w:pPr>
            <w:bookmarkStart w:id="0" w:name="_top"/>
            <w:bookmarkEnd w:id="0"/>
            <w:r>
              <w:t xml:space="preserve"/>
            </w:r>
          </w:p>
          <w:p>
            <w:pPr>
              <w:pStyle w:val="a9"/>
            </w:pPr>
            <w:r>
              <w:t xml:space="preserve">가속 MRI 재구성 네트워크 ETER-Net에서 순환신경망을 선택적 상태공간모델로 치환한 통제 비교 연구</w:t>
            </w:r>
          </w:p>
          <w:p>
            <w:pPr>
              <w:pStyle w:val="aa"/>
            </w:pPr>
            <w:r>
              <w:rPr>
                <w:sz w:val="34"/>
              </w:rPr>
              <w:t xml:space="preserve">A Controlled Study of Replacing the RNN with a Selective SSM in ETER-Net for Accelerated MRI Reconstruction</w:t>
            </w:r>
          </w:p>
          <w:p>
            <w:pPr>
              <w:pStyle w:val="ad"/>
            </w:pPr>
            <w:r>
              <w:t xml:space="preserve">요</w:t>
            </w:r>
            <w:r>
              <w:t xml:space="preserve">  </w:t>
            </w:r>
            <w:r>
              <w:t xml:space="preserve">약</w:t>
            </w:r>
          </w:p>
          <w:p>
            <w:pPr>
              <w:pStyle w:val="ae"/>
            </w:pPr>
            <w:r>
              <w:t xml:space="preserve">ETER-net은 언더샘플링된 k-space를 양방향 순환신경망으로 영상 도메인에 직접 변환하는 MRI 재구성 방법이다. 본 연구는 ETER-net의 양방향 GRU(gated recurrent unit, bi-GRU) 시퀀스 모듈을 2차원 선택적 상태공간모델(SS2D)로 교체한 SS2D(controlled)와 시퀀스 모듈의 출력을 0으로 대체한 U-Net only 모델을 ETER-net과 비교한다. U-Net은 zero-filled 영상도 함께 입력받으며, 세 모델은 시퀀스 모듈과 ETER-net에만 적용한 계산 정밀도·기울기 보호 설정을 제외하면 구조와 학습 설정이 같다. fastMRI brain 데이터셋(R=4)에서 각 모델을 같은 난수 시드로 50 epochs 동안 한 번씩 학습하여 test_full 분할(558개 볼륨)에서 평가한 결과, brain mask 내부의 볼륨 평균 structural similarity index(SSIM)는 ETER-net보다 U-Net only가 0.0022, SS2D(controlled)가 0.0008 높았다(</w:t>
            </w:r>
            <m:oMath>
              <m:r>
                <m:t xml:space="preserve">p&lt;0.001</m:t>
              </m:r>
            </m:oMath>
            <w:r>
              <w:t xml:space="preserve">). 그러나 SS2D(controlled)는 U-Net only보다 0.0014 낮았으므로 이 차이를 상태공간 모델링의 효과로 해석하지 않으며, fastMRI 공식 평가 정의에서는 SS2D(controlled)가 ETER-net보다 낮았다(0.8389 대 0.8652). 각 모델을 한 번씩만 학습하였으므로 시퀀스 모듈이 재구성에 도움이 되는지는 판단할 수 없다.</w:t>
            </w:r>
          </w:p>
          <w:p>
            <w:pPr>
              <w:pStyle w:val="Abstract"/>
            </w:pPr>
            <w:r>
              <w:t xml:space="preserve">Abstract</w:t>
            </w:r>
          </w:p>
          <w:p>
            <w:pPr>
              <w:pStyle w:val="ae"/>
            </w:pPr>
            <w:r>
              <w:t xml:space="preserve">ETER-net reconstructs MR images by mapping undersampled k-space to the image domain with a bidirectional recurrent neural network. We replace its bidirectional gated recurrent unit (GRU) sequence module with a two-dimensional selective state-space model (SS2D), giving SS2D(controlled), and also train a U-Net only model whose sequence-module output is zeroed. All U-Nets also receive the zero-filled coil images, and the models differ only in the sequence module (and, in ETER-net, 32-bit computation of one GRU and gradient guards). Each model was trained once (50 epochs, same seed) on fastMRI brain data (R=4) and evaluated on the test_full split (558 volumes). The brain-masked volume-averaged structural similarity index (SSIM) was 0.0022 higher for U-Net only and 0.0008 higher for SS2D(controlled) than for ETER-net (</w:t>
            </w:r>
            <m:oMath>
              <m:r>
                <m:t xml:space="preserve">p&lt;0.001</m:t>
              </m:r>
            </m:oMath>
            <w:r>
              <w:t xml:space="preserve">). Because SS2D(controlled) scored 0.0014 below U-Net only, this difference is not attributed to state-space modeling, and under the official fastMRI SSIM definition SS2D(controlled) scored below ETER-net (0.8389 vs. 0.8652). As each model was trained once, these results do not show whether the sequence modules help or hurt reconstruction.</w:t>
            </w:r>
          </w:p>
          <w:p>
            <w:pPr>
              <w:pStyle w:val="a3"/>
            </w:pPr>
            <w:r>
              <w:rPr>
                <w:rStyle w:val="Keywords"/>
                <w:spacing w:val="0"/>
              </w:rPr>
              <w:t xml:space="preserve">      </w:t>
            </w:r>
            <w:r>
              <w:rPr>
                <w:rStyle w:val="Keywords"/>
                <w:spacing w:val="0"/>
              </w:rPr>
              <w:t xml:space="preserve">Keywords</w:t>
            </w:r>
            <w:r>
              <w:t xml:space="preserve"> :</w:t>
            </w:r>
            <w:r>
              <w:t xml:space="preserve"> </w:t>
            </w:r>
            <w:r>
              <w:rPr>
                <w:rStyle w:val="Keywords0"/>
                <w:spacing w:val="0"/>
              </w:rPr>
              <w:t xml:space="preserve">MRI reconstruction, ETER-net, recurrent neural network, selective state-space model, SS2D</w:t>
            </w:r>
          </w:p>
        </w:tc>
      </w:tr>
      <w:tr>
        <w:tc>
          <w:tcPr>
            <w:tcW w:w="96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af3"/>
            </w:pPr>
          </w:p>
        </w:tc>
      </w:tr>
    </w:tbl>
    <w:p>
      <w:pPr>
        <w:pStyle w:val="a5"/>
      </w:pPr>
      <w:r>
        <w:rPr>
          <w:rFonts w:ascii="바탕"/>
        </w:rPr>
        <w:t xml:space="preserve">Ⅰ</w:t>
      </w:r>
      <w:r>
        <w:t xml:space="preserve">. </w:t>
      </w:r>
      <w:r>
        <w:t xml:space="preserve">서  론</w:t>
      </w:r>
    </w:p>
    <w:p>
      <w:pPr>
        <w:pStyle w:val="a4"/>
      </w:pPr>
      <w:r>
        <w:t xml:space="preserve">자기공명영상(MRI)의 딥러닝 재구성에는 반복 최적화를 신경망 층으로 펼치는 방식(unrolling)</w:t>
      </w:r>
      <w:r>
        <w:rPr>
          <w:vertAlign w:val="superscript"/>
        </w:rPr>
        <w:t xml:space="preserve">[1]</w:t>
      </w:r>
      <w:r>
        <w:t xml:space="preserve">과 k-space를 영상으로 직접 변환하는 도메인 변환 방식</w:t>
      </w:r>
      <w:r>
        <w:rPr>
          <w:vertAlign w:val="superscript"/>
        </w:rPr>
        <w:t xml:space="preserve">[2]</w:t>
      </w:r>
      <w:r>
        <w:t xml:space="preserve">이 있다. 후자인 ETER-net</w:t>
      </w:r>
      <w:r>
        <w:rPr>
          <w:vertAlign w:val="superscript"/>
        </w:rPr>
        <w:t xml:space="preserve">[3]</w:t>
      </w:r>
      <w:r>
        <w:t xml:space="preserve">은 양방향 GRU(gated recurrent unit, bi-GRU)로 k-space를 행·열 방향으로 읽어 영상 도메인 특징으로 바꾸고 U-Net으로 에일리어싱(aliasing)을 줄이며, 명시적 데이터 일관성 블록이 없다</w:t>
      </w:r>
      <w:r>
        <w:rPr>
          <w:vertAlign w:val="superscript"/>
        </w:rPr>
        <w:t xml:space="preserve">[3, 4]</w:t>
      </w:r>
      <w:r>
        <w:t xml:space="preserve">. 이 구조는 non-Cartesian 궤적</w:t>
      </w:r>
      <w:r>
        <w:rPr>
          <w:vertAlign w:val="superscript"/>
        </w:rPr>
        <w:t xml:space="preserve">[4]</w:t>
      </w:r>
      <w:r>
        <w:t xml:space="preserve">과 Vision Transformer 결합</w:t>
      </w:r>
      <w:r>
        <w:rPr>
          <w:vertAlign w:val="superscript"/>
        </w:rPr>
        <w:t xml:space="preserve">[5]</w:t>
      </w:r>
      <w:r>
        <w:t xml:space="preserve">으로 확장되었으나, 순차 처리로 병렬화가 어렵고 파라미터가 수억 개에 이른다. 선택적 상태공간모델(SSM)인 Mamba</w:t>
      </w:r>
      <w:r>
        <w:rPr>
          <w:vertAlign w:val="superscript"/>
        </w:rPr>
        <w:t xml:space="preserve">[6]</w:t>
      </w:r>
      <w:r>
        <w:t xml:space="preserve">와 그 2차원 확장인 SS2D</w:t>
      </w:r>
      <w:r>
        <w:rPr>
          <w:vertAlign w:val="superscript"/>
        </w:rPr>
        <w:t xml:space="preserve">[7]</w:t>
      </w:r>
      <w:r>
        <w:t xml:space="preserve">는 순환을 병렬 스캔으로 계산하지만, Mamba 기반 MRI 재구성 연구</w:t>
      </w:r>
      <w:r>
        <w:rPr>
          <w:vertAlign w:val="superscript"/>
        </w:rPr>
        <w:t xml:space="preserve">[8]</w:t>
      </w:r>
      <w:r>
        <w:t xml:space="preserve">는 새로운 구조 전체를 제안하여 순환신경망만 바꾼 효과를 분리하지 않았다. 본 논문은 ETER-net의 시퀀스 모듈만 SS2D로 치환한 모델과 시퀀스 모듈의 출력을 0으로 대체한 U-Net only 모델을 ETER-net과 통제 비교한다.</w:t>
      </w:r>
    </w:p>
    <w:p>
      <w:pPr>
        <w:pStyle w:val="a5"/>
      </w:pPr>
      <w:r>
        <w:rPr>
          <w:rFonts w:ascii="바탕"/>
        </w:rPr>
        <w:t xml:space="preserve">Ⅱ</w:t>
      </w:r>
      <w:r>
        <w:t xml:space="preserve">. </w:t>
      </w:r>
      <w:r>
        <w:t xml:space="preserve">방  법</w:t>
      </w:r>
    </w:p>
    <w:p>
      <w:pPr>
        <w:pStyle w:val="a6"/>
      </w:pPr>
      <w:r>
        <w:t xml:space="preserve">1. </w:t>
      </w:r>
      <w:r>
        <w:t xml:space="preserve">공통 재구성 파이프라인</w:t>
      </w:r>
    </w:p>
    <w:p>
      <w:pPr>
        <w:pStyle w:val="a4"/>
      </w:pPr>
      <w:r>
        <w:t xml:space="preserve">그림 1과 같이 완전 샘플링된(fully-sampled) k-space </w:t>
      </w:r>
      <m:oMath>
        <m:sSub>
          <m:e>
            <m:r>
              <m:t xml:space="preserve">y</m:t>
            </m:r>
          </m:e>
          <m:sub>
            <m:r>
              <m:t xml:space="preserve">c</m:t>
            </m:r>
          </m:sub>
        </m:sSub>
      </m:oMath>
      <w:r>
        <w:t xml:space="preserve">에 가속화 계수가 4인(R=4) 등간격(equispaced) 마스크 </w:t>
      </w:r>
      <m:oMath>
        <m:r>
          <m:t xml:space="preserve">M</m:t>
        </m:r>
      </m:oMath>
      <w:r>
        <w:t xml:space="preserve">(중앙 8%의 auto-calibration signal(ACS) 라인 포함)을 적용한 </w:t>
      </w:r>
      <m:oMath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</m:oMath>
      <w:r>
        <w:t xml:space="preserve">(</w:t>
      </w:r>
      <m:oMath>
        <m:r>
          <m:t xml:space="preserve">=M⊙</m:t>
        </m:r>
        <m:sSub>
          <m:e>
            <m:r>
              <m:t xml:space="preserve">y</m:t>
            </m:r>
          </m:e>
          <m:sub>
            <m:r>
              <m:t xml:space="preserve">c</m:t>
            </m:r>
          </m:sub>
        </m:sSub>
      </m:oMath>
      <w:r>
        <w:t xml:space="preserve">, </w:t>
      </w:r>
      <m:oMath>
        <m:r>
          <m:t xml:space="preserve">⊙</m:t>
        </m:r>
      </m:oMath>
      <w:r>
        <w:t xml:space="preserve">는 원소별 곱)를 실수·허수로 분리한 32채널 텐서로 입력한다. 참조 영상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</m:oMath>
      <w:r>
        <w:t xml:space="preserve">는 데이터셋이 제공하는 전체 코일 RSS(Root-Sum-of-Squares) 영상을 384×384로 크롭 및 패딩한 것이다. 시퀀스 모듈 </w:t>
      </w:r>
      <m:oMath>
        <m:sSub>
          <m:e>
            <m:r>
              <m:t xml:space="preserve">f</m:t>
            </m:r>
          </m:e>
          <m:sub>
            <m:r>
              <m:t xml:space="preserve">θ</m:t>
            </m:r>
          </m:sub>
        </m:sSub>
      </m:oMath>
      <w:r>
        <w:t xml:space="preserve">는 k-space를 영상 도메인 특징(20채널)으로 변환하고, U-Net </w:t>
      </w:r>
      <m:oMath>
        <m:sSub>
          <m:e>
            <m:r>
              <m:t xml:space="preserve">g</m:t>
            </m:r>
          </m:e>
          <m:sub>
            <m:r>
              <m:t xml:space="preserve">φ</m:t>
            </m:r>
          </m:sub>
        </m:sSub>
      </m:oMath>
      <w:r>
        <w:t xml:space="preserve">는 이 특징과 zero-filled 영상(32채널)을 결합한 텐서로부터 크기(magnitude) 영상 </w:t>
      </w:r>
      <m:oMath>
        <m:acc>
          <m:accPr>
            <m:chr m:val="̂"/>
          </m:accPr>
          <m:e>
            <m:r>
              <m:t xml:space="preserve">x</m:t>
            </m:r>
          </m:e>
        </m:acc>
      </m:oMath>
      <w:r>
        <w:t xml:space="preserve">을 출력한다(식 (1)).</w:t>
      </w:r>
    </w:p>
    <w:p>
      <w:pPr>
        <w:pStyle w:val="af6"/>
        <w:tabs>
          <w:tab w:val="clear" w:pos="408"/>
          <w:tab w:val="clear" w:pos="686"/>
          <w:tab w:val="clear" w:pos="756"/>
          <w:tab w:val="center" w:pos="2131"/>
          <w:tab w:val="right" w:pos="4563"/>
        </w:tabs>
        <w:spacing w:before="100" w:after="160"/>
        <w:ind w:left="0" w:firstLine="0"/>
        <w:jc w:val="left"/>
      </w:pPr>
      <w:r>
        <w:tab/>
      </w:r>
      <m:oMath>
        <m:acc>
          <m:accPr>
            <m:chr m:val="̂"/>
          </m:accPr>
          <m:e>
            <m:r>
              <m:t xml:space="preserve">x</m:t>
            </m:r>
          </m:e>
        </m:acc>
        <m:r>
          <m:t xml:space="preserve">=</m:t>
        </m:r>
        <m:sSub>
          <m:e>
            <m:r>
              <m:t xml:space="preserve">g</m:t>
            </m:r>
          </m:e>
          <m:sub>
            <m:r>
              <m:t xml:space="preserve">φ</m:t>
            </m:r>
          </m:sub>
        </m:sSub>
        <m:d>
          <m:dPr/>
          <m:e>
            <m:r>
              <m:rPr>
                <m:sty m:val="p"/>
              </m:rPr>
              <m:t xml:space="preserve">concat</m:t>
            </m:r>
            <m:d>
              <m:dPr/>
              <m:e>
                <m:sSub>
                  <m:e>
                    <m:r>
                      <m:t xml:space="preserve">f</m:t>
                    </m:r>
                  </m:e>
                  <m:sub>
                    <m:r>
                      <m:t xml:space="preserve">θ</m:t>
                    </m:r>
                  </m:sub>
                </m:sSub>
                <m:r>
                  <m:t xml:space="preserve">({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 xml:space="preserve">y</m:t>
                        </m:r>
                      </m:e>
                    </m:acc>
                  </m:e>
                  <m:sub>
                    <m:r>
                      <m:t xml:space="preserve">c</m:t>
                    </m:r>
                  </m:sub>
                </m:sSub>
                <m:r>
                  <m:t xml:space="preserve">}),</m:t>
                </m:r>
                <m:sSup>
                  <m:e>
                    <m:r>
                      <m:rPr>
                        <m:scr m:val="script"/>
                      </m:rPr>
                      <m:t>F</m:t>
                    </m:r>
                  </m:e>
                  <m:sup>
                    <m:r>
                      <m:t xml:space="preserve">−1</m:t>
                    </m:r>
                  </m:sup>
                </m:sSup>
                <m:r>
                  <m:t xml:space="preserve">{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 xml:space="preserve">y</m:t>
                        </m:r>
                      </m:e>
                    </m:acc>
                  </m:e>
                  <m:sub>
                    <m:r>
                      <m:t xml:space="preserve">c</m:t>
                    </m:r>
                  </m:sub>
                </m:sSub>
                <m:r>
                  <m:t xml:space="preserve">}</m:t>
                </m:r>
              </m:e>
            </m:d>
          </m:e>
        </m:d>
      </m:oMath>
      <w:r>
        <w:tab/>
        <w:t xml:space="preserve">(1)</w:t>
      </w:r>
    </w:p>
    <w:p>
      <w:pPr>
        <w:pStyle w:val="a4"/>
      </w:pPr>
      <w:r>
        <w:t xml:space="preserve">식 (1)에서 </w:t>
      </w:r>
      <m:oMath>
        <m:r>
          <m:t xml:space="preserve">{</m:t>
        </m:r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  <m:r>
          <m:t xml:space="preserve">}</m:t>
        </m:r>
      </m:oMath>
      <w:r>
        <w:t xml:space="preserve">는 모든 코일(</w:t>
      </w:r>
      <m:oMath>
        <m:r>
          <m:t xml:space="preserve">c</m:t>
        </m:r>
      </m:oMath>
      <w:r>
        <w:t xml:space="preserve">는 코일 인덱스)의 언더샘플링된 k-space, </w:t>
      </w:r>
      <m:oMath>
        <m:sSup>
          <m:e>
            <m:r>
              <m:rPr>
                <m:scr m:val="script"/>
              </m:rPr>
              <m:t>F</m:t>
            </m:r>
          </m:e>
          <m:sup>
            <m:r>
              <m:t xml:space="preserve">−1</m:t>
            </m:r>
          </m:sup>
        </m:sSup>
      </m:oMath>
      <w:r>
        <w:t xml:space="preserve">는 코일별 2차원 역 푸리에 변환, </w:t>
      </w:r>
      <m:oMath>
        <m:r>
          <m:rPr>
            <m:sty m:val="p"/>
          </m:rPr>
          <m:t xml:space="preserve">concat</m:t>
        </m:r>
      </m:oMath>
      <w:r>
        <w:t xml:space="preserve">은 채널 축 결합 연산이며, </w:t>
      </w:r>
      <m:oMath>
        <m:r>
          <m:t xml:space="preserve">θ</m:t>
        </m:r>
      </m:oMath>
      <w:r>
        <w:t xml:space="preserve">와 </w:t>
      </w:r>
      <m:oMath>
        <m:r>
          <m:t xml:space="preserve">φ</m:t>
        </m:r>
      </m:oMath>
      <w:r>
        <w:t xml:space="preserve">는 각각 </w:t>
      </w:r>
      <m:oMath>
        <m:sSub>
          <m:e>
            <m:r>
              <m:t xml:space="preserve">f</m:t>
            </m:r>
          </m:e>
          <m:sub>
            <m:r>
              <m:t xml:space="preserve">θ</m:t>
            </m:r>
          </m:sub>
        </m:sSub>
      </m:oMath>
      <w:r>
        <w:t xml:space="preserve">와 </w:t>
      </w:r>
      <m:oMath>
        <m:sSub>
          <m:e>
            <m:r>
              <m:t xml:space="preserve">g</m:t>
            </m:r>
          </m:e>
          <m:sub>
            <m:r>
              <m:t xml:space="preserve">φ</m:t>
            </m:r>
          </m:sub>
        </m:sSub>
      </m:oMath>
      <w:r>
        <w:t xml:space="preserve">의 학습 파라미터이다. U-Net은 dual-frame skip을 포함하며 깊이가 5, 첫 단계의 채널 수가 64, 파라미터 수가 31.1M이다. 세 모델은 시퀀스 모듈(bi-GRU, SS2D, 없음)에서만 다르며, U-Net only 모델은 그 출력을 0으로 대체한 모델이다. U-Net은 </w:t>
      </w:r>
      <w:r>
        <w:rPr>
          <w:vertAlign w:val="superscript"/>
        </w:rPr>
        <w:t xml:space="preserve">[4]</w:t>
      </w:r>
      <w:r>
        <w:t xml:space="preserve">와 달리 공개 구현과 같이 zero-filled 영상도 입력받으므로, U-Net only 모델도 같은 입력 정보를 받는다.</w:t>
      </w:r>
    </w:p>
    <w:p>
      <w:pPr>
        <w:pStyle w:val="a3"/>
        <w:spacing w:before="60" w:after="60"/>
        <w:ind w:firstLine="0"/>
        <w:jc w:val="center"/>
      </w:pPr>
      <w:r>
        <w:drawing>
          <wp:inline distT="0" distB="0" distL="0" distR="0">
            <wp:extent cx="2897505" cy="1980565"/>
            <wp:effectExtent l="0" t="0" r="0" b="0"/>
            <wp:docPr id="101" nam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8"/>
      </w:pPr>
      <w:r>
        <w:t xml:space="preserve">Fig.</w:t>
      </w:r>
      <w:r>
        <w:tab/>
      </w:r>
      <w:r>
        <w:t xml:space="preserve">1.</w:t>
      </w:r>
      <w:r>
        <w:tab/>
      </w:r>
      <w:r>
        <w:t xml:space="preserve">Common pipeline; only the sequence module </w:t>
      </w:r>
      <m:oMath>
        <m:sSub>
          <m:e>
            <m:r>
              <m:t xml:space="preserve">f</m:t>
            </m:r>
          </m:e>
          <m:sub>
            <m:r>
              <m:t xml:space="preserve">θ</m:t>
            </m:r>
          </m:sub>
        </m:sSub>
      </m:oMath>
      <w:r>
        <w:t xml:space="preserve"> (dashed box) differs</w:t>
      </w:r>
    </w:p>
    <w:p>
      <w:pPr>
        <w:pStyle w:val="a6"/>
      </w:pPr>
      <w:r>
        <w:t xml:space="preserve">2. </w:t>
      </w:r>
      <w:r>
        <w:t xml:space="preserve">시퀀스 모듈의 두 구성</w:t>
      </w:r>
    </w:p>
    <w:p>
      <w:pPr>
        <w:pStyle w:val="a4"/>
      </w:pPr>
      <w:r>
        <w:t xml:space="preserve">ETER-net의 bi-GRU 모듈은 공개 구현과 같이 32×384×384 입력을 384×12,288 시퀀스로 재배열하여(한 스텝은 한 채널의 연속된 32개 행) 양방향 GRU를 통과시킨 뒤, 전치하여 열 방향으로 한 번 더 통과시키며, 은닉 상태가 3,840(=10×384)차원이어서 파라미터 수가 637.1M(모델 전체 668.2M)이다. SS2D 모듈은 각 k-space 위치의 32채널 벡터를 층 정규화(Layer Normalization), 선형 층, 3×3 depthwise convolution으로 128채널 특징으로 바꾼 뒤, 행의 좌우와 열의 상하 네 방향으로 S6(입력에 따라 계수가 달라지는 Mamba</w:t>
      </w:r>
      <w:r>
        <w:rPr>
          <w:vertAlign w:val="superscript"/>
        </w:rPr>
        <w:t xml:space="preserve">[6]</w:t>
      </w:r>
      <w:r>
        <w:t xml:space="preserve">의 선택적 상태공간 스캔)를 적용하고 그 출력을 결합하여 20채널로 변환한다. 방향마다 독립된 가중치를 쓰는 점은 원 SS2D</w:t>
      </w:r>
      <w:r>
        <w:rPr>
          <w:vertAlign w:val="superscript"/>
        </w:rPr>
        <w:t xml:space="preserve">[7]</w:t>
      </w:r>
      <w:r>
        <w:t xml:space="preserve">와 같지만, 특징 지도 전체를 순회 경로마다 한 시퀀스로 펼치는 원 SS2D와 달리 각 행과 열을 독립 시퀀스로 처리한다. SS2D 모듈의 파라미터 수는 0.12M(모델 전체 31.2M)이며, 각 출력이 같은 행과 열 주변(폭 3의 십자 영역)의 입력에만 의존하므로 이 모듈만으로는 2차원 역 푸리에 변환을 표현할 수 없다.</w:t>
      </w:r>
    </w:p>
    <w:p>
      <w:pPr>
        <w:pStyle w:val="a6"/>
      </w:pPr>
      <w:r>
        <w:t xml:space="preserve">3. </w:t>
      </w:r>
      <w:r>
        <w:t xml:space="preserve">학습·평가 프로토콜</w:t>
      </w:r>
    </w:p>
    <w:p>
      <w:pPr>
        <w:pStyle w:val="a4"/>
      </w:pPr>
      <w:r>
        <w:t xml:space="preserve">학습에는 fastMRI brain multicoil 데이터셋</w:t>
      </w:r>
      <w:r>
        <w:rPr>
          <w:vertAlign w:val="superscript"/>
        </w:rPr>
        <w:t xml:space="preserve">[9]</w:t>
      </w:r>
      <w:r>
        <w:t xml:space="preserve">의 공식 학습 분할에서 확보한 4,110개 볼륨을, 체크포인트 선택에는 공식 검증 분할 전체(1,378개 볼륨)를, 평가에는 공식 시험 분할(test_full, 558개 볼륨)을 사용하였으며, 분할 간에 겹치는 볼륨은 없다. 코일은 처음 16개만 사용하였고, 학습 시에는 마스크의 시작 위치와 상하·좌우 반전을 무작위로 정하였다. 모델에는 식 (1)의 </w:t>
      </w:r>
      <m:oMath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</m:oMath>
      <w:r>
        <w:t xml:space="preserve"> 대신 식 (2)의 슬라이스별 정규화 계수 </w:t>
      </w:r>
      <m:oMath>
        <m:r>
          <m:t xml:space="preserve">s</m:t>
        </m:r>
      </m:oMath>
      <w:r>
        <w:t xml:space="preserve">로 나눈 </w:t>
      </w:r>
      <m:oMath>
        <m:sSub>
          <m:e>
            <m:acc>
              <m:accPr>
                <m:chr m:val="̃"/>
              </m:accPr>
              <m:e>
                <m:r>
                  <m:t xml:space="preserve">y</m:t>
                </m:r>
              </m:e>
            </m:acc>
          </m:e>
          <m:sub>
            <m:r>
              <m:t xml:space="preserve">c</m:t>
            </m:r>
          </m:sub>
        </m:sSub>
        <m:r>
          <m:t xml:space="preserve">/s</m:t>
        </m:r>
      </m:oMath>
      <w:r>
        <w:t xml:space="preserve">를 입력하고, 출력에 </w:t>
      </w:r>
      <m:oMath>
        <m:r>
          <m:t xml:space="preserve">s</m:t>
        </m:r>
      </m:oMath>
      <w:r>
        <w:t xml:space="preserve">를 곱한 값을 복원 영상 </w:t>
      </w:r>
      <m:oMath>
        <m:acc>
          <m:accPr>
            <m:chr m:val="̂"/>
          </m:accPr>
          <m:e>
            <m:r>
              <m:t xml:space="preserve">x</m:t>
            </m:r>
          </m:e>
        </m:acc>
      </m:oMath>
      <w:r>
        <w:t xml:space="preserve">으로 하였다. brain mask </w:t>
      </w:r>
      <m:oMath>
        <m:r>
          <m:t xml:space="preserve">m</m:t>
        </m:r>
      </m:oMath>
      <w:r>
        <w:t xml:space="preserve">은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</m:oMath>
      <w:r>
        <w:t xml:space="preserve">의 0이 아닌 화소에서 구한 Otsu 임곗값 </w:t>
      </w:r>
      <m:oMath>
        <m:r>
          <m:t xml:space="preserve">T</m:t>
        </m:r>
      </m:oMath>
      <w:r>
        <w:rPr>
          <w:vertAlign w:val="superscript"/>
        </w:rPr>
        <w:t xml:space="preserve">[10]</w:t>
      </w:r>
      <w:r>
        <w:t xml:space="preserve">(집단 간 분산을 최대로 하는 임곗값)에 대해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  <m:r>
          <m:t xml:space="preserve">&gt;0.4T</m:t>
        </m:r>
      </m:oMath>
      <w:r>
        <w:t xml:space="preserve">인 화소의 가장 큰 연결 성분이다.</w:t>
      </w:r>
    </w:p>
    <w:p>
      <w:pPr>
        <w:pStyle w:val="af6"/>
        <w:tabs>
          <w:tab w:val="clear" w:pos="408"/>
          <w:tab w:val="clear" w:pos="686"/>
          <w:tab w:val="clear" w:pos="756"/>
          <w:tab w:val="center" w:pos="2131"/>
          <w:tab w:val="right" w:pos="4563"/>
        </w:tabs>
        <w:spacing w:before="100" w:after="160"/>
        <w:ind w:left="0" w:firstLine="0"/>
        <w:jc w:val="left"/>
      </w:pPr>
      <w:r>
        <w:tab/>
      </w:r>
      <m:oMath>
        <m:r>
          <m:t xml:space="preserve">s=</m:t>
        </m:r>
        <m:sSub>
          <m:e>
            <m:r>
              <m:rPr>
                <m:sty m:val="p"/>
              </m:rPr>
              <m:t xml:space="preserve">P</m:t>
            </m:r>
          </m:e>
          <m:sub>
            <m:r>
              <m:t xml:space="preserve">99</m:t>
            </m:r>
          </m:sub>
        </m:sSub>
        <m:d>
          <m:dPr/>
          <m:e>
            <m:rad>
              <m:radPr>
                <m:degHide m:val="1"/>
              </m:radPr>
              <m:deg/>
              <m:e>
                <m:nary>
                  <m:naryPr>
                    <m:chr m:val="∑"/>
                    <m:limLoc m:val="undOvr"/>
                    <m:supHide m:val="1"/>
                  </m:naryPr>
                  <m:sub>
                    <m:r>
                      <m:t xml:space="preserve">c</m:t>
                    </m:r>
                  </m:sub>
                  <m:sup/>
                  <m:e/>
                </m:nary>
                <m:sSup>
                  <m:e>
                    <m:d>
                      <m:dPr>
                        <m:begChr m:val="|"/>
                        <m:endChr m:val="|"/>
                      </m:dPr>
                      <m:e>
                        <m:sSup>
                          <m:e>
                            <m:r>
                              <m:rPr>
                                <m:scr m:val="script"/>
                              </m:rPr>
                              <m:t>F</m:t>
                            </m:r>
                          </m:e>
                          <m:sup>
                            <m:r>
                              <m:t xml:space="preserve">−1</m:t>
                            </m:r>
                          </m:sup>
                        </m:sSup>
                        <m:r>
                          <m:t xml:space="preserve">{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 xml:space="preserve">y</m:t>
                                </m:r>
                              </m:e>
                            </m:acc>
                          </m:e>
                          <m:sub>
                            <m:r>
                              <m:t xml:space="preserve">c</m:t>
                            </m:r>
                          </m:sub>
                        </m:sSub>
                        <m:r>
                          <m:t xml:space="preserve">}</m:t>
                        </m:r>
                      </m:e>
                    </m:d>
                  </m:e>
                  <m:sup>
                    <m:r>
                      <m:t xml:space="preserve">2</m:t>
                    </m:r>
                  </m:sup>
                </m:sSup>
              </m:e>
            </m:rad>
          </m:e>
        </m:d>
      </m:oMath>
      <w:r>
        <w:tab/>
        <w:t xml:space="preserve">(2)</w:t>
      </w:r>
    </w:p>
    <w:p>
      <w:pPr>
        <w:pStyle w:val="af6"/>
        <w:tabs>
          <w:tab w:val="clear" w:pos="408"/>
          <w:tab w:val="clear" w:pos="686"/>
          <w:tab w:val="clear" w:pos="756"/>
          <w:tab w:val="center" w:pos="2131"/>
          <w:tab w:val="right" w:pos="4563"/>
        </w:tabs>
        <w:spacing w:before="100" w:after="160"/>
        <w:ind w:left="0" w:firstLine="0"/>
        <w:jc w:val="left"/>
      </w:pPr>
      <w:r>
        <w:tab/>
      </w:r>
      <m:oMath>
        <m:r>
          <m:rPr>
            <m:scr m:val="script"/>
          </m:rPr>
          <m:t>L=</m:t>
        </m:r>
        <m:f>
          <m:num>
            <m:nary>
              <m:naryPr>
                <m:chr m:val="∑"/>
                <m:limLoc m:val="undOvr"/>
                <m:supHide m:val="1"/>
              </m:naryPr>
              <m:sub>
                <m:r>
                  <m:t xml:space="preserve">i</m:t>
                </m:r>
              </m:sub>
              <m:sup/>
              <m:e/>
            </m:nary>
            <m:sSub>
              <m:e>
                <m:r>
                  <m:t xml:space="preserve">m</m:t>
                </m:r>
              </m:e>
              <m:sub>
                <m:r>
                  <m:t xml:space="preserve">i</m:t>
                </m:r>
              </m:sub>
            </m:sSub>
            <m:d>
              <m:dPr>
                <m:begChr m:val="|"/>
                <m:endChr m:val="|"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 xml:space="preserve">x</m:t>
                        </m:r>
                      </m:e>
                    </m:acc>
                  </m:e>
                  <m:sub>
                    <m:r>
                      <m:t xml:space="preserve">i</m:t>
                    </m:r>
                  </m:sub>
                </m:sSub>
                <m:r>
                  <m:t xml:space="preserve">/s−</m:t>
                </m:r>
                <m:sSubSup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  <m:sup>
                    <m:r>
                      <m:t xml:space="preserve">∗</m:t>
                    </m:r>
                  </m:sup>
                </m:sSubSup>
                <m:r>
                  <m:t xml:space="preserve">/s</m:t>
                </m:r>
              </m:e>
            </m:d>
          </m:num>
          <m:den>
            <m:nary>
              <m:naryPr>
                <m:chr m:val="∑"/>
                <m:limLoc m:val="undOvr"/>
                <m:supHide m:val="1"/>
              </m:naryPr>
              <m:sub>
                <m:r>
                  <m:t xml:space="preserve">i</m:t>
                </m:r>
              </m:sub>
              <m:sup/>
              <m:e/>
            </m:nary>
            <m:sSub>
              <m:e>
                <m:r>
                  <m:t xml:space="preserve">m</m:t>
                </m:r>
              </m:e>
              <m:sub>
                <m:r>
                  <m:t xml:space="preserve">i</m:t>
                </m:r>
              </m:sub>
            </m:sSub>
          </m:den>
        </m:f>
        <m:r>
          <m:t xml:space="preserve">+λ</m:t>
        </m:r>
        <m:d>
          <m:dPr/>
          <m:e>
            <m:r>
              <m:t xml:space="preserve">1−</m:t>
            </m:r>
            <m:sSub>
              <m:e>
                <m:r>
                  <m:rPr>
                    <m:sty m:val="p"/>
                  </m:rPr>
                  <m:t xml:space="preserve">SSIM</m:t>
                </m:r>
              </m:e>
              <m:sub>
                <m:r>
                  <m:t xml:space="preserve">m</m:t>
                </m:r>
              </m:sub>
            </m:sSub>
            <m:r>
              <m:t xml:space="preserve">(</m:t>
            </m:r>
            <m:acc>
              <m:accPr>
                <m:chr m:val="̂"/>
              </m:accPr>
              <m:e>
                <m:r>
                  <m:t xml:space="preserve">x</m:t>
                </m:r>
              </m:e>
            </m:acc>
            <m:r>
              <m:t xml:space="preserve">/s,</m:t>
            </m:r>
            <m:sSup>
              <m:e>
                <m:r>
                  <m:t xml:space="preserve">x</m:t>
                </m:r>
              </m:e>
              <m:sup>
                <m:r>
                  <m:t xml:space="preserve">∗</m:t>
                </m:r>
              </m:sup>
            </m:sSup>
            <m:r>
              <m:t xml:space="preserve">/s)</m:t>
            </m:r>
          </m:e>
        </m:d>
      </m:oMath>
      <w:r>
        <w:tab/>
        <w:t xml:space="preserve">(3)</w:t>
      </w:r>
    </w:p>
    <w:p>
      <w:pPr>
        <w:pStyle w:val="a4"/>
      </w:pPr>
      <w:r>
        <w:t xml:space="preserve">식 (2)의 </w:t>
      </w:r>
      <m:oMath>
        <m:r>
          <m:t xml:space="preserve">s</m:t>
        </m:r>
      </m:oMath>
      <w:r>
        <w:t xml:space="preserve">는 zero-filled RSS 영상의 384×384 화소 값에 대한 99 백분위수(</w:t>
      </w:r>
      <m:oMath>
        <m:sSub>
          <m:e>
            <m:r>
              <m:rPr>
                <m:sty m:val="p"/>
              </m:rPr>
              <m:t xml:space="preserve">P</m:t>
            </m:r>
          </m:e>
          <m:sub>
            <m:r>
              <m:t xml:space="preserve">99</m:t>
            </m:r>
          </m:sub>
        </m:sSub>
      </m:oMath>
      <w:r>
        <w:t xml:space="preserve">)이다. 식 (3)에서 </w:t>
      </w:r>
      <m:oMath>
        <m:r>
          <m:rPr>
            <m:scr m:val="script"/>
          </m:rPr>
          <m:t>L</m:t>
        </m:r>
      </m:oMath>
      <w:r>
        <w:t xml:space="preserve">은 손실 함수, </w:t>
      </w:r>
      <m:oMath>
        <m:r>
          <m:t xml:space="preserve">i</m:t>
        </m:r>
      </m:oMath>
      <w:r>
        <w:t xml:space="preserve">는 화소 인덱스, </w:t>
      </w:r>
      <m:oMath>
        <m:sSub>
          <m:e>
            <m:r>
              <m:t xml:space="preserve">m</m:t>
            </m:r>
          </m:e>
          <m:sub>
            <m:r>
              <m:t xml:space="preserve">i</m:t>
            </m:r>
          </m:sub>
        </m:sSub>
      </m:oMath>
      <w:r>
        <w:t xml:space="preserve">는 화소 </w:t>
      </w:r>
      <m:oMath>
        <m:r>
          <m:t xml:space="preserve">i</m:t>
        </m:r>
      </m:oMath>
      <w:r>
        <w:t xml:space="preserve">가 마스크 내부이면 1, 외부이면 0인 값, </w:t>
      </w:r>
      <m:oMath>
        <m:sSubSup>
          <m:e>
            <m:r>
              <m:t xml:space="preserve">x</m:t>
            </m:r>
          </m:e>
          <m:sub>
            <m:r>
              <m:t xml:space="preserve">i</m:t>
            </m:r>
          </m:sub>
          <m:sup>
            <m:r>
              <m:t xml:space="preserve">∗</m:t>
            </m:r>
          </m:sup>
        </m:sSubSup>
      </m:oMath>
      <w:r>
        <w:t xml:space="preserve">와 </w:t>
      </w:r>
      <m:oMath>
        <m:sSub>
          <m:e>
            <m:acc>
              <m:accPr>
                <m:chr m:val="̂"/>
              </m:accPr>
              <m:e>
                <m:r>
                  <m:t xml:space="preserve">x</m:t>
                </m:r>
              </m:e>
            </m:acc>
          </m:e>
          <m:sub>
            <m:r>
              <m:t xml:space="preserve">i</m:t>
            </m:r>
          </m:sub>
        </m:sSub>
      </m:oMath>
      <w:r>
        <w:t xml:space="preserve">는 화소 </w:t>
      </w:r>
      <m:oMath>
        <m:r>
          <m:t xml:space="preserve">i</m:t>
        </m:r>
      </m:oMath>
      <w:r>
        <w:t xml:space="preserve">에서의 참조 영상과 복원 영상의 값이며, </w:t>
      </w:r>
      <m:oMath>
        <m:sSub>
          <m:e>
            <m:r>
              <m:rPr>
                <m:sty m:val="p"/>
              </m:rPr>
              <m:t xml:space="preserve">SSIM</m:t>
            </m:r>
          </m:e>
          <m:sub>
            <m:r>
              <m:t xml:space="preserve">m</m:t>
            </m:r>
          </m:sub>
        </m:sSub>
      </m:oMath>
      <w:r>
        <w:t xml:space="preserve">은 structural similarity index(SSIM) 지도의 마스크 내부 평균이다. 가중치 </w:t>
      </w:r>
      <m:oMath>
        <m:r>
          <m:t xml:space="preserve">λ</m:t>
        </m:r>
      </m:oMath>
      <w:r>
        <w:t xml:space="preserve">는 원래 세기에서의 가중치 </w:t>
      </w:r>
      <m:oMath>
        <m:r>
          <m:t xml:space="preserve">1</m:t>
        </m:r>
        <m:sSup>
          <m:e>
            <m:r>
              <m:t xml:space="preserve">0</m:t>
            </m:r>
          </m:e>
          <m:sup>
            <m:r>
              <m:t xml:space="preserve">−6</m:t>
            </m:r>
          </m:sup>
        </m:sSup>
      </m:oMath>
      <w:r>
        <w:t xml:space="preserve">을 학습 슬라이스 64개의 </w:t>
      </w:r>
      <m:oMath>
        <m:r>
          <m:t xml:space="preserve">s</m:t>
        </m:r>
      </m:oMath>
      <w:r>
        <w:t xml:space="preserve"> 평균으로 나눈 값(약 </w:t>
      </w:r>
      <m:oMath>
        <m:r>
          <m:t xml:space="preserve">3.1×1</m:t>
        </m:r>
        <m:sSup>
          <m:e>
            <m:r>
              <m:t xml:space="preserve">0</m:t>
            </m:r>
          </m:e>
          <m:sup>
            <m:r>
              <m:t xml:space="preserve">−3</m:t>
            </m:r>
          </m:sup>
        </m:sSup>
      </m:oMath>
      <w:r>
        <w:t xml:space="preserve">)이다. 최적화는 AdamW(배치 크기 8)로 하였고, 학습률은 코사인 어닐링 방식으로 </w:t>
      </w:r>
      <m:oMath>
        <m:r>
          <m:t xml:space="preserve">2×1</m:t>
        </m:r>
        <m:sSup>
          <m:e>
            <m:r>
              <m:t xml:space="preserve">0</m:t>
            </m:r>
          </m:e>
          <m:sup>
            <m:r>
              <m:t xml:space="preserve">−4</m:t>
            </m:r>
          </m:sup>
        </m:sSup>
      </m:oMath>
      <w:r>
        <w:t xml:space="preserve">에서 </w:t>
      </w:r>
      <m:oMath>
        <m:r>
          <m:t xml:space="preserve">1×1</m:t>
        </m:r>
        <m:sSup>
          <m:e>
            <m:r>
              <m:t xml:space="preserve">0</m:t>
            </m:r>
          </m:e>
          <m:sup>
            <m:r>
              <m:t xml:space="preserve">−6</m:t>
            </m:r>
          </m:sup>
        </m:sSup>
      </m:oMath>
      <w:r>
        <w:t xml:space="preserve">까지 감소하였다. 계산은 16비트 부동소수점(fp16) 자동 혼합 정밀도로 수행하였으나, ETER-net은 가로 방향 GRU를 32비트(fp32)로 계산하고 기울기가 유한하지 않은 step에 대한 보호 장치를 더하였다. 세 모델은 모델별 하이퍼파라미터 조정 없이 같은 설정과 난수 시드 1로 50 epochs 동안 한 번씩 학습하였고, 검증 SSIM이 가장 높은 체크포인트(2 epoch마다 검증)를 사용하였다. 이 설정은 데이터, 정규화, 마스크, 증강, 손실, 최적화, 정밀도, GRU 은닉 크기 배수(본 연구 10, 공개 구현 12)에서 원 ETER-net 구현과 다르다. 평가 지표인 SSIM, peak signal-to-noise ratio(PSNR), normalized mean squared error(nMSE)는 손실과 같이 마스크 내부에서 계산하였으며, SSIM의 동적 범위는 마스크 내부 </w:t>
      </w:r>
      <m:oMath>
        <m:sSup>
          <m:e>
            <m:r>
              <m:t xml:space="preserve">x</m:t>
            </m:r>
          </m:e>
          <m:sup>
            <m:r>
              <m:t xml:space="preserve">∗</m:t>
            </m:r>
          </m:sup>
        </m:sSup>
      </m:oMath>
      <w:r>
        <w:t xml:space="preserve">의 최댓값과 최솟값의 차이이다. 모델 간 비교에는 볼륨별로 짝지은 우위 비율과 양측 Wilcoxon signed-rank 검정을 사용하였다.</w:t>
      </w:r>
    </w:p>
    <w:p>
      <w:pPr>
        <w:pStyle w:val="a5"/>
      </w:pPr>
      <w:r>
        <w:rPr>
          <w:rFonts w:ascii="바탕"/>
        </w:rPr>
        <w:t xml:space="preserve">Ⅲ</w:t>
      </w:r>
      <w:r>
        <w:t xml:space="preserve">. </w:t>
      </w:r>
      <w:r>
        <w:t xml:space="preserve">실험 결과</w:t>
      </w:r>
    </w:p>
    <w:p>
      <w:pPr>
        <w:pStyle w:val="a4"/>
      </w:pPr>
      <w:r>
        <w:t xml:space="preserve">표 1에서 U-Net only와 SS2D(controlled)의 SSIM과 PSNR은 기준 모델인 ETER-net보다 각각 0.0022와 0.23 dB, 0.0008과 0.10 dB 높았고, nMSE는 두 모델 모두 ETER-net보다 낮았다(모든 비교에서 </w:t>
      </w:r>
      <m:oMath>
        <m:r>
          <m:t xml:space="preserve">p&lt;0.001</m:t>
        </m:r>
      </m:oMath>
      <w:r>
        <w:t xml:space="preserve">). 그러나 마스크 없이 참조 볼륨의 최댓값을 동적 범위로 쓰는 fastMRI 공식 평가 정의</w:t>
      </w:r>
      <w:r>
        <w:rPr>
          <w:vertAlign w:val="superscript"/>
        </w:rPr>
        <w:t xml:space="preserve">[9]</w:t>
      </w:r>
      <w:r>
        <w:t xml:space="preserve">의 SSIM은 U-Net only 0.8965, ETER-net 0.8652, SS2D(controlled) 0.8389로 SS2D(controlled)가 ETER-net보다 0.0262 낮았고(우위 비율 14.3%, </w:t>
      </w:r>
      <m:oMath>
        <m:r>
          <m:t xml:space="preserve">p&lt;0.001</m:t>
        </m:r>
      </m:oMath>
      <w:r>
        <w:t xml:space="preserve">), 이 차이는 학습 손실에 포함되지 않은 마스크 외부에서 생겼다(SSIM 지도 평균: 내부 +0.0005, 외부 −0.0398).</w:t>
      </w:r>
    </w:p>
    <w:p>
      <w:pPr>
        <w:pStyle w:val="a4"/>
      </w:pPr>
      <w:r>
        <w:t xml:space="preserve">그런데 SS2D(controlled)의 SSIM은 시퀀스 모듈이 없는 U-Net only보다 0.0014 낮았으므로(SS2D(controlled)가 우수한 볼륨 558개 중 12개, </w:t>
      </w:r>
      <m:oMath>
        <m:r>
          <m:t xml:space="preserve">p&lt;0.001</m:t>
        </m:r>
      </m:oMath>
      <w:r>
        <w:t xml:space="preserve">), 본 연구는 SS2D(controlled)와 ETER-net의 차이를 상태공간 모델링의 효과로 해석하지 않는다. 마지막 epoch의 학습 손실은 ETER-net과 SS2D(controlled)가 U-Net only보다 각각 2.0%, 1.6% 높아 최적화 차이가 반영되었을 수 있으며, 각 모델을 한 번씩만 학습하였으므로 위 검정은 학습 회차 간 변동을 반영하지 않는다.</w:t>
      </w:r>
    </w:p>
    <w:p>
      <w:pPr>
        <w:pStyle w:val="a8"/>
        <w:tabs>
          <w:tab w:val="left" w:pos="466"/>
        </w:tabs>
      </w:pPr>
      <w:r>
        <w:t xml:space="preserve">Table</w:t>
      </w:r>
      <w:r>
        <w:tab/>
      </w:r>
      <w:r>
        <w:t xml:space="preserve">1.  </w:t>
      </w:r>
      <w:r>
        <w:t xml:space="preserve">Volume-level results (mean ± standard deviation) on the fastMRI brain test_full split (558 volumes, R=4, brain-masked)</w:t>
      </w:r>
    </w:p>
    <w:tbl>
      <w:tblPr>
        <w:tblOverlap w:val="never"/>
        <w:tblW w:w="4535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5"/>
        <w:gridCol w:w="1340"/>
        <w:gridCol w:w="1035"/>
        <w:gridCol w:w="1135"/>
      </w:tblGrid>
      <w:tr>
        <w:trPr>
          <w:trHeight w:val="262"/>
          <w:tblHeader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  <w:szCs w:val="16"/>
              </w:rPr>
              <w:t xml:space="preserve">Model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  <w:szCs w:val="16"/>
              </w:rPr>
              <w:t xml:space="preserve">SSIM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  <w:szCs w:val="16"/>
              </w:rPr>
              <w:t xml:space="preserve">PSNR (dB)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b/>
                <w:sz w:val="16"/>
                <w:szCs w:val="16"/>
              </w:rPr>
              <w:t xml:space="preserve">nMSE (%)</w:t>
            </w:r>
          </w:p>
        </w:tc>
      </w:tr>
      <w:tr>
        <w:trPr>
          <w:trHeight w:val="262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U-Net only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0.9213±0.0466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34.91±1.85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0.371±0.409</w:t>
            </w:r>
          </w:p>
        </w:tc>
      </w:tr>
      <w:tr>
        <w:trPr>
          <w:trHeight w:val="262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ETER-net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0.9191±0.0474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34.69±1.84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0.388±0.434</w:t>
            </w:r>
          </w:p>
        </w:tc>
      </w:tr>
      <w:tr>
        <w:trPr>
          <w:trHeight w:val="262"/>
        </w:trPr>
        <w:tc>
          <w:tcPr>
            <w:tcW w:w="102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SS2D</w:t>
            </w:r>
            <w:r>
              <w:br/>
            </w:r>
            <w:r>
              <w:rPr>
                <w:sz w:val="16"/>
                <w:szCs w:val="16"/>
              </w:rPr>
              <w:t xml:space="preserve">(controlled)</w:t>
            </w:r>
          </w:p>
        </w:tc>
        <w:tc>
          <w:tcPr>
            <w:tcW w:w="13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0.9199±0.0469</w:t>
            </w:r>
          </w:p>
        </w:tc>
        <w:tc>
          <w:tcPr>
            <w:tcW w:w="10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34.78±1.86</w:t>
            </w:r>
          </w:p>
        </w:tc>
        <w:tc>
          <w:tcPr>
            <w:tcW w:w="11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>
            <w:pPr>
              <w:pStyle w:val="a3"/>
              <w:wordWrap/>
              <w:spacing w:after="0" w:line="240" w:lineRule="auto"/>
              <w:ind w:firstLine="0"/>
              <w:jc w:val="center"/>
            </w:pPr>
            <w:r>
              <w:rPr>
                <w:sz w:val="16"/>
                <w:szCs w:val="16"/>
              </w:rPr>
              <w:t xml:space="preserve">0.381±0.414</w:t>
            </w:r>
          </w:p>
        </w:tc>
      </w:tr>
    </w:tbl>
    <w:p>
      <w:pPr>
        <w:pStyle w:val="a3"/>
        <w:spacing w:before="40" w:after="120" w:line="240" w:lineRule="auto"/>
        <w:ind w:firstLine="0"/>
        <w:jc w:val="left"/>
      </w:pPr>
      <w:r>
        <w:t xml:space="preserve">Note. 본문의 차이는 짝지은 차이의 평균(반올림 전)이므로, 반올림한 평균끼리 뺀 값과 마지막 자리가 다를 수 있다.</w:t>
      </w:r>
    </w:p>
    <w:p>
      <w:pPr>
        <w:pStyle w:val="a5"/>
      </w:pPr>
      <w:r>
        <w:rPr>
          <w:rFonts w:ascii="바탕"/>
        </w:rPr>
        <w:t xml:space="preserve">Ⅳ</w:t>
      </w:r>
      <w:r>
        <w:t xml:space="preserve">. </w:t>
      </w:r>
      <w:r>
        <w:t xml:space="preserve">결  론</w:t>
      </w:r>
    </w:p>
    <w:p>
      <w:pPr>
        <w:pStyle w:val="a4"/>
      </w:pPr>
      <w:r>
        <w:t xml:space="preserve">ETER-net의 시퀀스 모듈만 교체하거나 제거한 두 모델은 brain mask 내부 SSIM이 ETER-net보다 높았으나, SS2D(controlled)가 U-Net only보다 낮았으므로, 본 연구는 이 차이를 상태공간 모델링의 효과나 SSM과 순환신경망의 우열로 해석하지 않는다. 두 모듈의 구성 차이, 모델마다 한 번뿐인 학습, 공식 평가 정의에서의 순위 역전, 단일 데이터셋과 단일 가속화 계수는 본 연구의 한계이며, 향후 여러 난수 시드와 원 구현의 학습 설정에서 시퀀스 모듈의 기여를 평가할 계획이다.</w:t>
      </w:r>
    </w:p>
    <w:p>
      <w:pPr>
        <w:pStyle w:val="a5"/>
      </w:pPr>
      <w:r>
        <w:t xml:space="preserve">REFERENCES</w:t>
      </w:r>
    </w:p>
    <w:p>
      <w:pPr>
        <w:pStyle w:val="af5"/>
      </w:pPr>
      <w:r>
        <w:rPr>
          <w:w w:val="100"/>
        </w:rPr>
        <w:t xml:space="preserve">[1] </w:t>
      </w:r>
      <w:r>
        <w:t xml:space="preserve">A. Sriram et al., "End-to-End Variational Networks for Accelerated MRI Reconstruction," </w:t>
      </w:r>
      <w:r>
        <w:t xml:space="preserve">in </w:t>
      </w:r>
      <w:r>
        <w:rPr>
          <w:i/>
        </w:rPr>
        <w:t xml:space="preserve">Proc. MICCAI</w:t>
      </w:r>
      <w:r>
        <w:t xml:space="preserve">, LNCS, vol. 12262, pp. 64–73, 2020.</w:t>
      </w:r>
    </w:p>
    <w:p>
      <w:pPr>
        <w:pStyle w:val="af5"/>
      </w:pPr>
      <w:r>
        <w:rPr>
          <w:w w:val="100"/>
        </w:rPr>
        <w:t xml:space="preserve">[2] </w:t>
      </w:r>
      <w:r>
        <w:t xml:space="preserve">B. Zhu et al., "Image reconstruction by domain-transform manifold learning," </w:t>
      </w:r>
      <w:r>
        <w:rPr>
          <w:i/>
        </w:rPr>
        <w:t xml:space="preserve">Nature</w:t>
      </w:r>
      <w:r>
        <w:t xml:space="preserve">, vol. 555, pp. 487–492, 2018.</w:t>
      </w:r>
    </w:p>
    <w:p>
      <w:pPr>
        <w:pStyle w:val="af5"/>
      </w:pPr>
      <w:r>
        <w:rPr>
          <w:w w:val="100"/>
        </w:rPr>
        <w:t xml:space="preserve">[3] </w:t>
      </w:r>
      <w:r>
        <w:t xml:space="preserve">C. Oh et al., "A k-space-to-image reconstruction network for MRI using recurrent neural network," </w:t>
      </w:r>
      <w:r>
        <w:rPr>
          <w:i/>
        </w:rPr>
        <w:t xml:space="preserve">Med. Phys.</w:t>
      </w:r>
      <w:r>
        <w:t xml:space="preserve">, vol. 48, no. 1, pp. 193–203, 2021.</w:t>
      </w:r>
    </w:p>
    <w:p>
      <w:pPr>
        <w:pStyle w:val="af5"/>
      </w:pPr>
      <w:r>
        <w:rPr>
          <w:w w:val="100"/>
        </w:rPr>
        <w:t xml:space="preserve">[4] </w:t>
      </w:r>
      <w:r>
        <w:t xml:space="preserve">C. Oh et al., "An End-to-End Recurrent Neural Network for Radial MR Image Reconstruction," </w:t>
      </w:r>
      <w:r>
        <w:rPr>
          <w:i/>
        </w:rPr>
        <w:t xml:space="preserve">Sensors</w:t>
      </w:r>
      <w:r>
        <w:t xml:space="preserve">, vol. 22, no. 19, Art. no. 7277, 2022.</w:t>
      </w:r>
    </w:p>
    <w:p>
      <w:pPr>
        <w:pStyle w:val="af5"/>
      </w:pPr>
      <w:r>
        <w:rPr>
          <w:w w:val="100"/>
        </w:rPr>
        <w:t xml:space="preserve">[5] </w:t>
      </w:r>
      <w:r>
        <w:t xml:space="preserve">C. Oh, "A Hybrid Vision Transformer-BiRNN Architecture for Direct k-Space to Image Reconstruction in Accelerated MRI," </w:t>
      </w:r>
      <w:r>
        <w:rPr>
          <w:i/>
        </w:rPr>
        <w:t xml:space="preserve">J. Imaging</w:t>
      </w:r>
      <w:r>
        <w:t xml:space="preserve">, vol. 12, no. 1, Art. no. 11, 2026.</w:t>
      </w:r>
    </w:p>
    <w:p>
      <w:pPr>
        <w:pStyle w:val="af5"/>
      </w:pPr>
      <w:r>
        <w:rPr>
          <w:w w:val="100"/>
        </w:rPr>
        <w:t xml:space="preserve">[6] </w:t>
      </w:r>
      <w:r>
        <w:t xml:space="preserve">A. Gu and T. Dao, "Mamba: Linear-Time Sequence Modeling with Selective State Spaces," </w:t>
      </w:r>
      <w:r>
        <w:t xml:space="preserve">arXiv preprint arXiv:2312.00752</w:t>
      </w:r>
      <w:r>
        <w:t xml:space="preserve">, 2023.</w:t>
      </w:r>
    </w:p>
    <w:p>
      <w:pPr>
        <w:pStyle w:val="af5"/>
      </w:pPr>
      <w:r>
        <w:rPr>
          <w:w w:val="100"/>
        </w:rPr>
        <w:t xml:space="preserve">[7] </w:t>
      </w:r>
      <w:r>
        <w:t xml:space="preserve">Y. Liu et al., "VMamba: Visual State Space Model," </w:t>
      </w:r>
      <w:r>
        <w:t xml:space="preserve">in </w:t>
      </w:r>
      <w:r>
        <w:rPr>
          <w:i/>
        </w:rPr>
        <w:t xml:space="preserve">Proc. NeurIPS</w:t>
      </w:r>
      <w:r>
        <w:t xml:space="preserve">, 2024.</w:t>
      </w:r>
    </w:p>
    <w:p>
      <w:pPr>
        <w:pStyle w:val="af5"/>
      </w:pPr>
      <w:r>
        <w:rPr>
          <w:w w:val="100"/>
        </w:rPr>
        <w:t xml:space="preserve">[8] </w:t>
      </w:r>
      <w:r>
        <w:t xml:space="preserve">Y. Korkmaz and V. M. Patel, "MambaRecon: MRI Reconstruction with Structured State Space Models," </w:t>
      </w:r>
      <w:r>
        <w:t xml:space="preserve">in </w:t>
      </w:r>
      <w:r>
        <w:rPr>
          <w:i/>
        </w:rPr>
        <w:t xml:space="preserve">Proc. IEEE/CVF WACV</w:t>
      </w:r>
      <w:r>
        <w:t xml:space="preserve">, pp. 4142–4152, 2025.</w:t>
      </w:r>
    </w:p>
    <w:p>
      <w:pPr>
        <w:pStyle w:val="af5"/>
      </w:pPr>
      <w:r>
        <w:rPr>
          <w:w w:val="100"/>
        </w:rPr>
        <w:t xml:space="preserve">[9] </w:t>
      </w:r>
      <w:r>
        <w:t xml:space="preserve">J. Zbontar et al., "fastMRI: An Open Dataset and Benchmarks for Accelerated MRI," </w:t>
      </w:r>
      <w:r>
        <w:t xml:space="preserve">arXiv preprint arXiv:1811.08839</w:t>
      </w:r>
      <w:r>
        <w:t xml:space="preserve">, 2018.</w:t>
      </w:r>
    </w:p>
    <w:p>
      <w:pPr>
        <w:pStyle w:val="af5"/>
      </w:pPr>
      <w:r>
        <w:rPr>
          <w:w w:val="100"/>
        </w:rPr>
        <w:t xml:space="preserve">[10] </w:t>
      </w:r>
      <w:r>
        <w:t xml:space="preserve">N. Otsu, "A Threshold Selection Method from Gray-Level Histograms," </w:t>
      </w:r>
      <w:r>
        <w:rPr>
          <w:i/>
        </w:rPr>
        <w:t xml:space="preserve">IEEE Trans. Syst., Man, Cybern.</w:t>
      </w:r>
      <w:r>
        <w:t xml:space="preserve">, vol. 9, no. 1, pp. 62–66, 1979.</w:t>
      </w:r>
    </w:p>
    <w:sectPr>
      <w:headerReference w:type="default" r:id="rId10"/>
      <w:footerReference w:type="default" r:id="rId11"/>
      <w:footnotePr>
        <w:numFmt w:val="lowerRoman"/>
        <w:numRestart w:val="eachPage"/>
      </w:footnotePr>
      <w:endnotePr>
        <w:numFmt w:val="decimal"/>
      </w:endnotePr>
      <w:pgSz w:w="11906" w:h="16838"/>
      <w:pgMar w:top="1984" w:right="1135" w:bottom="1138" w:left="1134" w:header="1134" w:footer="571" w:gutter="0"/>
      <w:cols w:num="2" w:space="51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F58E3" w:rsidRDefault="00CF58E3">
      <w:pPr>
        <w:spacing w:after="0" w:line="240" w:lineRule="auto"/>
      </w:pPr>
      <w:r>
        <w:separator/>
      </w:r>
    </w:p>
  </w:endnote>
  <w:endnote w:type="continuationSeparator" w:id="0">
    <w:p w:rsidR="00CF58E3" w:rsidRDefault="00CF58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한양신명조">
    <w:altName w:val="바탕"/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양중고딕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F1A" w:rsidRDefault="00A77F1A">
    <w:pPr>
      <w:pStyle w:val="a3"/>
      <w:wordWrap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F58E3" w:rsidRDefault="00CF58E3">
      <w:pPr>
        <w:spacing w:after="0" w:line="240" w:lineRule="auto"/>
      </w:pPr>
      <w:r>
        <w:separator/>
      </w:r>
    </w:p>
  </w:footnote>
  <w:footnote w:type="continuationSeparator" w:id="0">
    <w:p w:rsidR="00CF58E3" w:rsidRDefault="00CF58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77F1A" w:rsidRDefault="00CF58E3">
    <w:pPr>
      <w:pStyle w:val="af"/>
      <w:tabs>
        <w:tab w:val="center" w:pos="5150"/>
        <w:tab w:val="right" w:pos="10150"/>
      </w:tabs>
      <w:jc w:val="right"/>
    </w:pPr>
    <w:r>
      <w:fldChar w:fldCharType="begin"/>
    </w:r>
    <w:r>
      <w:instrText>PAGE  \* ARABIC</w:instrText>
    </w:r>
    <w:r>
      <w:fldChar w:fldCharType="separate"/>
    </w:r>
    <w:r w:rsidR="00451151">
      <w:rPr>
        <w:noProof/>
      </w:rPr>
      <w:t>1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numFmt w:val="lowerRoman"/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A77F1A"/>
    <w:rsid w:val="00451151"/>
    <w:rsid w:val="00A77F1A"/>
    <w:rsid w:val="00CF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한양신명조" w:eastAsia="한양신명조"/>
      <w:color w:val="000000"/>
      <w:spacing w:val="-5"/>
      <w:w w:val="95"/>
    </w:rPr>
  </w:style>
  <w:style w:type="paragraph" w:customStyle="1" w:styleId="a5">
    <w:name w:val="각 장 제목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300" w:line="384" w:lineRule="auto"/>
      <w:jc w:val="center"/>
      <w:textAlignment w:val="baseline"/>
    </w:pPr>
    <w:rPr>
      <w:rFonts w:ascii="HY중고딕" w:eastAsia="HY중고딕"/>
      <w:b/>
      <w:color w:val="000000"/>
      <w:spacing w:val="-11"/>
      <w:sz w:val="22"/>
    </w:rPr>
  </w:style>
  <w:style w:type="paragraph" w:customStyle="1" w:styleId="a6">
    <w:name w:val="각 절 제목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HY중고딕" w:eastAsia="HY중고딕"/>
      <w:color w:val="000000"/>
      <w:spacing w:val="-5"/>
      <w:w w:val="95"/>
      <w:sz w:val="22"/>
    </w:rPr>
  </w:style>
  <w:style w:type="paragraph" w:customStyle="1" w:styleId="a7">
    <w:name w:val="각 항 제목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wordWrap w:val="0"/>
      <w:autoSpaceDE w:val="0"/>
      <w:autoSpaceDN w:val="0"/>
      <w:snapToGrid w:val="0"/>
      <w:spacing w:after="0" w:line="384" w:lineRule="auto"/>
      <w:ind w:firstLine="200"/>
      <w:textAlignment w:val="baseline"/>
    </w:pPr>
    <w:rPr>
      <w:rFonts w:ascii="HY중고딕" w:eastAsia="HY중고딕"/>
      <w:color w:val="000000"/>
      <w:spacing w:val="-5"/>
      <w:w w:val="95"/>
    </w:rPr>
  </w:style>
  <w:style w:type="paragraph" w:customStyle="1" w:styleId="a8">
    <w:name w:val="그림/표 제목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08"/>
        <w:tab w:val="left" w:pos="686"/>
        <w:tab w:val="left" w:pos="756"/>
      </w:tabs>
      <w:wordWrap w:val="0"/>
      <w:autoSpaceDE w:val="0"/>
      <w:autoSpaceDN w:val="0"/>
      <w:snapToGrid w:val="0"/>
      <w:spacing w:after="0" w:line="312" w:lineRule="auto"/>
      <w:ind w:left="680" w:hanging="680"/>
      <w:textAlignment w:val="baseline"/>
    </w:pPr>
    <w:rPr>
      <w:rFonts w:ascii="한양중고딕" w:eastAsia="한양중고딕"/>
      <w:color w:val="000000"/>
      <w:spacing w:val="-5"/>
      <w:w w:val="95"/>
    </w:rPr>
  </w:style>
  <w:style w:type="paragraph" w:customStyle="1" w:styleId="a9">
    <w:name w:val="한글제목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60" w:after="160" w:line="384" w:lineRule="auto"/>
      <w:jc w:val="center"/>
      <w:textAlignment w:val="baseline"/>
    </w:pPr>
    <w:rPr>
      <w:rFonts w:ascii="한양신명조" w:eastAsia="한양신명조"/>
      <w:color w:val="000000"/>
      <w:spacing w:val="-20"/>
      <w:w w:val="90"/>
      <w:sz w:val="40"/>
    </w:rPr>
  </w:style>
  <w:style w:type="paragraph" w:customStyle="1" w:styleId="aa">
    <w:name w:val="영문제목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80" w:line="312" w:lineRule="auto"/>
      <w:ind w:left="200" w:right="200"/>
      <w:jc w:val="center"/>
      <w:textAlignment w:val="baseline"/>
    </w:pPr>
    <w:rPr>
      <w:rFonts w:ascii="한양신명조" w:eastAsia="한양신명조"/>
      <w:color w:val="000000"/>
      <w:w w:val="90"/>
      <w:sz w:val="30"/>
    </w:rPr>
  </w:style>
  <w:style w:type="paragraph" w:customStyle="1" w:styleId="ab">
    <w:name w:val="한글저자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60" w:line="408" w:lineRule="auto"/>
      <w:jc w:val="center"/>
      <w:textAlignment w:val="baseline"/>
    </w:pPr>
    <w:rPr>
      <w:rFonts w:ascii="한양신명조" w:eastAsia="한양신명조"/>
      <w:color w:val="000000"/>
      <w:sz w:val="24"/>
    </w:rPr>
  </w:style>
  <w:style w:type="paragraph" w:customStyle="1" w:styleId="ac">
    <w:name w:val="영문저자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280" w:line="408" w:lineRule="auto"/>
      <w:jc w:val="center"/>
      <w:textAlignment w:val="baseline"/>
    </w:pPr>
    <w:rPr>
      <w:rFonts w:ascii="한양신명조" w:eastAsia="한양신명조"/>
      <w:color w:val="000000"/>
      <w:spacing w:val="-11"/>
      <w:sz w:val="22"/>
    </w:rPr>
  </w:style>
  <w:style w:type="paragraph" w:customStyle="1" w:styleId="ad">
    <w:name w:val="요약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40" w:line="408" w:lineRule="auto"/>
      <w:jc w:val="center"/>
      <w:textAlignment w:val="baseline"/>
    </w:pPr>
    <w:rPr>
      <w:rFonts w:ascii="한양중고딕" w:eastAsia="한양중고딕"/>
      <w:color w:val="000000"/>
    </w:rPr>
  </w:style>
  <w:style w:type="paragraph" w:customStyle="1" w:styleId="ae">
    <w:name w:val="요약본문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320" w:line="312" w:lineRule="auto"/>
      <w:ind w:left="340" w:right="340" w:firstLine="200"/>
      <w:textAlignment w:val="baseline"/>
    </w:pPr>
    <w:rPr>
      <w:rFonts w:ascii="한양신명조" w:eastAsia="한양신명조"/>
      <w:color w:val="000000"/>
      <w:spacing w:val="-4"/>
      <w:w w:val="95"/>
      <w:sz w:val="18"/>
    </w:rPr>
  </w:style>
  <w:style w:type="paragraph" w:customStyle="1" w:styleId="Abstract">
    <w:name w:val="Abstract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140" w:line="408" w:lineRule="auto"/>
      <w:ind w:left="500" w:right="500"/>
      <w:jc w:val="center"/>
      <w:textAlignment w:val="baseline"/>
    </w:pPr>
    <w:rPr>
      <w:rFonts w:ascii="바탕" w:eastAsia="바탕"/>
      <w:b/>
      <w:color w:val="000000"/>
    </w:rPr>
  </w:style>
  <w:style w:type="paragraph" w:customStyle="1" w:styleId="af">
    <w:name w:val="머릿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3972"/>
        <w:tab w:val="right" w:pos="8568"/>
      </w:tabs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Y중고딕" w:eastAsia="HY중고딕"/>
      <w:color w:val="000000"/>
      <w:w w:val="90"/>
      <w:sz w:val="18"/>
    </w:rPr>
  </w:style>
  <w:style w:type="paragraph" w:customStyle="1" w:styleId="af0">
    <w:name w:val="꼬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한양중고딕" w:eastAsia="한양중고딕"/>
      <w:color w:val="000000"/>
      <w:spacing w:val="4"/>
      <w:w w:val="90"/>
      <w:sz w:val="16"/>
    </w:rPr>
  </w:style>
  <w:style w:type="paragraph" w:customStyle="1" w:styleId="af1">
    <w:name w:val="쪽 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견고딕" w:eastAsia="한양견고딕"/>
      <w:color w:val="000000"/>
    </w:rPr>
  </w:style>
  <w:style w:type="paragraph" w:customStyle="1" w:styleId="af2">
    <w:name w:val="각주내용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f3">
    <w:name w:val="논문번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77"/>
      </w:tabs>
      <w:autoSpaceDE w:val="0"/>
      <w:autoSpaceDN w:val="0"/>
      <w:snapToGrid w:val="0"/>
      <w:spacing w:line="240" w:lineRule="auto"/>
      <w:jc w:val="left"/>
      <w:textAlignment w:val="baseline"/>
    </w:pPr>
    <w:rPr>
      <w:rFonts w:ascii="HY중고딕" w:eastAsia="HY중고딕"/>
      <w:color w:val="000000"/>
      <w:spacing w:val="5"/>
      <w:w w:val="95"/>
    </w:rPr>
  </w:style>
  <w:style w:type="character" w:customStyle="1" w:styleId="Keywords">
    <w:name w:val="Keywords제목"/>
    <w:uiPriority w:val="18"/>
    <w:rPr>
      <w:rFonts w:ascii="한양견명조" w:eastAsia="한양견명조"/>
      <w:color w:val="000000"/>
      <w:w w:val="95"/>
      <w:sz w:val="18"/>
    </w:rPr>
  </w:style>
  <w:style w:type="character" w:customStyle="1" w:styleId="Keywords0">
    <w:name w:val="Keywords내용"/>
    <w:uiPriority w:val="19"/>
    <w:rPr>
      <w:rFonts w:ascii="한양신명조" w:eastAsia="한양신명조"/>
      <w:color w:val="000000"/>
      <w:w w:val="95"/>
      <w:sz w:val="18"/>
    </w:rPr>
  </w:style>
  <w:style w:type="character" w:customStyle="1" w:styleId="af4">
    <w:name w:val="참고문헌번호"/>
    <w:uiPriority w:val="20"/>
    <w:rPr>
      <w:rFonts w:ascii="돋움" w:eastAsia="돋움"/>
      <w:color w:val="000000"/>
      <w:sz w:val="18"/>
      <w:vertAlign w:val="superscript"/>
    </w:rPr>
  </w:style>
  <w:style w:type="paragraph" w:customStyle="1" w:styleId="af5">
    <w:name w:val="참고문헌내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360" w:hanging="360"/>
      <w:textAlignment w:val="baseline"/>
    </w:pPr>
    <w:rPr>
      <w:rFonts w:ascii="한양신명조" w:eastAsia="한양신명조"/>
      <w:color w:val="000000"/>
      <w:spacing w:val="-5"/>
      <w:w w:val="95"/>
    </w:rPr>
  </w:style>
  <w:style w:type="character" w:customStyle="1" w:styleId="-">
    <w:name w:val="저자소개-이름"/>
    <w:uiPriority w:val="22"/>
    <w:rPr>
      <w:rFonts w:ascii="한양중고딕" w:eastAsia="한양중고딕"/>
      <w:color w:val="000000"/>
      <w:sz w:val="22"/>
    </w:rPr>
  </w:style>
  <w:style w:type="paragraph" w:customStyle="1" w:styleId="-0">
    <w:name w:val="저자소개-약력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f6">
    <w:name w:val="수식번호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408"/>
        <w:tab w:val="left" w:pos="686"/>
        <w:tab w:val="left" w:pos="756"/>
      </w:tabs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pacing w:val="-5"/>
      <w:w w:val="95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fig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347</Words>
  <Characters>1984</Characters>
  <Application>Microsoft Office Word</Application>
  <DocSecurity>0</DocSecurity>
  <Lines>16</Lines>
  <Paragraphs>4</Paragraphs>
  <ScaleCrop>false</ScaleCrop>
  <Company>Hewlett-Packard Company</Company>
  <LinksUpToDate>false</LinksUpToDate>
  <CharactersWithSpaces>2327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가속 MRI 재구성 네트워크 ETER-Net에서 순환신경망을 선택적 상태공간모델로 치환한 통제 비교 연구</dc:title>
  <dc:subject/>
  <dc:creator/>
  <cp:lastModifiedBy/>
  <cp:revision>2</cp:revision>
  <dcterms:created xsi:type="dcterms:W3CDTF">2002-02-07T08:08:00Z</dcterms:created>
  <dcterms:modified xsi:type="dcterms:W3CDTF">2021-07-30T01:40:00Z</dcterms:modified>
</cp:coreProperties>
</file>