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bottomFromText="28" w:vertAnchor="text" w:tblpYSpec="top"/>
        <w:tblW w:w="9645" w:type="dxa"/>
        <w:tblBorders>
          <w:top w:val="single" w:sz="3" w:space="0" w:color="000000"/>
          <w:left w:val="single" w:sz="3" w:space="0" w:color="000000"/>
          <w:bottom w:val="single" w:sz="3" w:space="0" w:color="000000"/>
          <w:right w:val="single" w:sz="3" w:space="0" w:color="000000"/>
        </w:tblBorders>
        <w:tblLayout w:type="fixed"/>
        <w:tblCellMar>
          <w:left w:w="0" w:type="dxa"/>
          <w:right w:w="0" w:type="dxa"/>
        </w:tblCellMar>
        <w:tblLook w:val="0000" w:firstRow="0" w:lastRow="0" w:firstColumn="0" w:lastColumn="0" w:noHBand="0" w:noVBand="0"/>
      </w:tblPr>
      <w:tblGrid>
        <w:gridCol w:w="9645"/>
      </w:tblGrid>
      <w:tr>
        <w:trPr>
          <w:trHeight w:val="9717"/>
        </w:trPr>
        <w:tc>
          <w:tcPr>
            <w:tcW w:w="9645" w:type="dxa"/>
            <w:tcBorders>
              <w:top w:val="nil"/>
              <w:left w:val="nil"/>
              <w:bottom w:val="nil"/>
              <w:right w:val="nil"/>
            </w:tcBorders>
          </w:tcPr>
          <w:p>
            <w:pPr>
              <w:pStyle w:val="af3"/>
            </w:pPr>
            <w:bookmarkStart w:id="0" w:name="_top"/>
            <w:bookmarkEnd w:id="0"/>
            <w:r>
              <w:t xml:space="preserve">투고용 논문 2021</w:t>
            </w:r>
          </w:p>
          <w:p>
            <w:pPr>
              <w:pStyle w:val="a9"/>
            </w:pPr>
            <w:r>
              <w:t xml:space="preserve">가속 MRI 재구성 네트워크 ETER-Net에서 순환신경망을 선택적 상태공간모델로 치환한 통제 연구</w:t>
            </w:r>
          </w:p>
          <w:p>
            <w:pPr>
              <w:pStyle w:val="aa"/>
            </w:pPr>
            <w:r>
              <w:rPr>
                <w:sz w:val="34"/>
              </w:rPr>
              <w:t xml:space="preserve">A Controlled Study of Replacing RNN with a Selective SSM in ETER-Net for Accelerated Direct MRI</w:t>
            </w:r>
          </w:p>
          <w:p>
            <w:pPr>
              <w:pStyle w:val="ad"/>
            </w:pPr>
            <w:r>
              <w:t xml:space="preserve">요</w:t>
            </w:r>
            <w:r>
              <w:t xml:space="preserve">  </w:t>
            </w:r>
            <w:r>
              <w:t xml:space="preserve">약</w:t>
            </w:r>
          </w:p>
          <w:p>
            <w:pPr>
              <w:pStyle w:val="ae"/>
            </w:pPr>
            <w:r>
              <w:t xml:space="preserve">ETER-Net은 언더샘플링된 k-space를 양방향 순환신경망(bi-RNN)을 활용해 영상 도메인으로 직접 변환하는 MRI 재구성 방법이다. 본 논문은 이 골격에서 도메인 변환 모듈을 단일 변수로 통제하여, 기존 설계의 bi-GRU를 2차원 선택적 상태공간모델(SS2D)로 치환했을 때의 효과를 검증한다. fastMRI brain multicoil 데이터셋(384×384, R=4)에서 두 모델은 시퀀스 변환 모듈을 제외한 모든 구성요소(데이터·마스크·U-Net 구조·손실·최적화 설정)가 동일하며(가중치 공유 없이 각각 독립 학습), 원 논문에 충실하게 명시적 데이터 일관성(DC) 블록 없이 학습을 수행하였다. 검증 슬라이스 평가 결과, SS2D 치환 모델은 기존 대비 21배 적은 파라미터(31M vs. 668M)로 볼륨 단위 평균 brain-masked SSIM 0.9141(GRU 0.9127), PSNR 33.91 dB(33.78 dB)를 기록하여 주요 평가 지표(SSIM·PSNR·nMSE) 전체에서 기존 설계를 상회했으며, 슬라이스 단위로는 SSIM 78.2%·PSNR 73.8%·nMSE 73.8%, 볼륨 단위로는 94.8%·89.9%·90.1%에서 우위였다(볼륨 단위 Wilcoxon signed-rank, p&lt;0.001). 정성적 평가에서는 bi-GRU 재구성 영상의 두개골 외부 배경 영역에서 관찰되는 주기적 ringing 아티팩트가 SS2D 적용 모델에서는 억제됨을 확인하였다. 본 연구는 직접 도메인 변환형 재구성 구조에서 SS2D로의 치환이 DC 블록 없이도 경량화된 파라미터로 일관된 품질 향상을 달성함을 입증한다.</w:t>
            </w:r>
          </w:p>
          <w:p>
            <w:pPr>
              <w:pStyle w:val="Abstract"/>
            </w:pPr>
            <w:r>
              <w:t xml:space="preserve">Abstract</w:t>
            </w:r>
          </w:p>
          <w:p>
            <w:pPr>
              <w:pStyle w:val="ae"/>
            </w:pPr>
            <w:r>
              <w:t xml:space="preserve">ETER-Net is an MR reconstruction method that directly transforms undersampled k-space into the image domain using a bidirectional recurrent neural network (bi-RNN). This paper evaluates the effect of replacing the original bi-GRU with a 2D selective state-space model (SS2D). On the fastMRI brain multicoil dataset (384×384, R=4), both models are identical in every component except the sequence model (same data, mask, U-Net architecture, loss, and optimization; trained independently without weight sharing) and are trained without an explicit data-consistency (DC) block, adhering strictly to the original design. Evaluation on validation slices shows that the SS2D replacement model, with 21× fewer parameters (31M vs. 668M), achieves a volume-averaged brain-masked SSIM of 0.9141 (vs. 0.9127) and PSNR of 33.91 dB (vs. 33.78 dB), outperforming the original bi-GRU design across all standard metrics (SSIM, PSNR, nMSE) and winning on 78.2% (SSIM), 73.8% (PSNR), and 73.8% (nMSE) of slices and on 94.8%, 89.9%, and 90.1% of volumes, respectively (volume-level Wilcoxon signed-rank test, p&lt;0.001). Qualitatively, periodic ringing artifacts outside the skull in the bi-GRU reconstructions are significantly suppressed in the SS2D reconstructions. These results indicate that substituting bi-GRU with SS2D in direct domain-transformation architectures achieves consistent quality gains without DC blocks, even with substantially fewer parameters.</w:t>
            </w:r>
          </w:p>
          <w:p>
            <w:pPr>
              <w:pStyle w:val="a3"/>
            </w:pPr>
            <w:r>
              <w:rPr>
                <w:rStyle w:val="Keywords"/>
                <w:spacing w:val="0"/>
              </w:rPr>
              <w:t xml:space="preserve">      </w:t>
            </w:r>
            <w:r>
              <w:rPr>
                <w:rStyle w:val="Keywords"/>
                <w:spacing w:val="0"/>
              </w:rPr>
              <w:t xml:space="preserve">Keywords</w:t>
            </w:r>
            <w:r>
              <w:t xml:space="preserve"> :</w:t>
            </w:r>
            <w:r>
              <w:t xml:space="preserve"> </w:t>
            </w:r>
            <w:r>
              <w:rPr>
                <w:rStyle w:val="Keywords0"/>
                <w:spacing w:val="0"/>
              </w:rPr>
              <w:t xml:space="preserve">MRI reconstruction, ETER-Net, recurrent neural network, selective state-space model, controlled comparison</w:t>
            </w:r>
          </w:p>
        </w:tc>
      </w:tr>
      <w:tr>
        <w:tc>
          <w:tcPr>
            <w:tcW w:w="9645" w:type="dxa"/>
            <w:tcBorders>
              <w:top w:val="nil"/>
              <w:left w:val="nil"/>
              <w:bottom w:val="nil"/>
              <w:right w:val="nil"/>
            </w:tcBorders>
          </w:tcPr>
          <w:p>
            <w:pPr>
              <w:pStyle w:val="af3"/>
            </w:pPr>
          </w:p>
        </w:tc>
      </w:tr>
    </w:tbl>
    <w:p>
      <w:pPr>
        <w:pStyle w:val="a5"/>
      </w:pPr>
      <w:r>
        <w:rPr>
          <w:rFonts w:ascii="바탕"/>
        </w:rPr>
        <w:t xml:space="preserve">Ⅰ</w:t>
      </w:r>
      <w:r>
        <w:t xml:space="preserve">. </w:t>
      </w:r>
      <w:r>
        <w:t xml:space="preserve">서  론</w:t>
      </w:r>
    </w:p>
    <w:p>
      <w:pPr>
        <w:pStyle w:val="a4"/>
      </w:pPr>
      <w:r>
        <w:t xml:space="preserve">MRI는 k-space를 순차 수집하므로 촬영이 느리며, 언더샘플링 후의 딥러닝 재구성은 물리 모델의 반복 최적화를 펼치는 unrolled 계열</w:t>
      </w:r>
      <w:r>
        <w:rPr>
          <w:vertAlign w:val="superscript"/>
        </w:rPr>
        <w:t xml:space="preserve">[1, 2]</w:t>
      </w:r>
      <w:r>
        <w:t xml:space="preserve">과 신경망이 k-space를 영상으로 직접 변환하는 도메인 변환 계열</w:t>
      </w:r>
      <w:r>
        <w:rPr>
          <w:vertAlign w:val="superscript"/>
        </w:rPr>
        <w:t xml:space="preserve">[3]</w:t>
      </w:r>
      <w:r>
        <w:t xml:space="preserve">로 나뉜다. ETER-Net</w:t>
      </w:r>
      <w:r>
        <w:rPr>
          <w:vertAlign w:val="superscript"/>
        </w:rPr>
        <w:t xml:space="preserve">[4]</w:t>
      </w:r>
      <w:r>
        <w:t xml:space="preserve">은 후자로, 양방향 GRU(bi-GRU)가 k-space를 행·열 방향으로 읽어 영상 도메인 특징으로 변환하고 U-Net이 aliasing을 제거하며, 명시적 데이터 일관성(DC) 블록은 없다. 이후 non-Cartesian 궤적</w:t>
      </w:r>
      <w:r>
        <w:rPr>
          <w:vertAlign w:val="superscript"/>
        </w:rPr>
        <w:t xml:space="preserve">[5]</w:t>
      </w:r>
      <w:r>
        <w:t xml:space="preserve">과 ViT 인코더 결합</w:t>
      </w:r>
      <w:r>
        <w:rPr>
          <w:vertAlign w:val="superscript"/>
        </w:rPr>
        <w:t xml:space="preserve">[6]</w:t>
      </w:r>
      <w:r>
        <w:t xml:space="preserve">으로 확장되었으나 도메인 변환의 핵심인 bi-RNN은 유지되었다. 그러나 bi-GRU는 순차 처리라 병렬화가 어렵고 flatten-reshape 구조 탓에 파라미터가 수억 개에 이른다. 선택적 상태공간모델 Mamba</w:t>
      </w:r>
      <w:r>
        <w:rPr>
          <w:vertAlign w:val="superscript"/>
        </w:rPr>
        <w:t xml:space="preserve">[7]</w:t>
      </w:r>
      <w:r>
        <w:t xml:space="preserve">는 입력 의존 순환을 병렬 스캔으로 선형 시간에 계산하고, 2차원 확장 SS2D</w:t>
      </w:r>
      <w:r>
        <w:rPr>
          <w:vertAlign w:val="superscript"/>
        </w:rPr>
        <w:t xml:space="preserve">[8]</w:t>
      </w:r>
      <w:r>
        <w:t xml:space="preserve">는 4방향 스캔으로 전역 수용영역을 얻는다. Mamba 기반 MRI 재구성</w:t>
      </w:r>
      <w:r>
        <w:rPr>
          <w:vertAlign w:val="superscript"/>
        </w:rPr>
        <w:t xml:space="preserve">[9, 10]</w:t>
      </w:r>
      <w:r>
        <w:t xml:space="preserve">은 새 구조 전체를 제안하므로, 기존 골격에서 순환신경망만 SSM으로 바꾼 효과를 분리한 비교는 없었다. 본 논문은 ETER-Net에서 도메인 변환 시퀀스 모델만 bi-GRU에서 SS2D로 치환하고 나머지를 모두 고정한 통제 비교를 보고한다.</w:t>
      </w:r>
    </w:p>
    <w:p>
      <w:pPr>
        <w:pStyle w:val="a5"/>
      </w:pPr>
      <w:r>
        <w:rPr>
          <w:rFonts w:ascii="바탕"/>
        </w:rPr>
        <w:t xml:space="preserve">Ⅱ</w:t>
      </w:r>
      <w:r>
        <w:t xml:space="preserve">. </w:t>
      </w:r>
      <w:r>
        <w:t xml:space="preserve">방  법</w:t>
      </w:r>
    </w:p>
    <w:p>
      <w:pPr>
        <w:pStyle w:val="a6"/>
      </w:pPr>
      <w:r>
        <w:t xml:space="preserve">1. </w:t>
      </w:r>
      <w:r>
        <w:t xml:space="preserve">통제 파이프라인</w:t>
      </w:r>
    </w:p>
    <w:p>
      <w:pPr>
        <w:pStyle w:val="a4"/>
      </w:pPr>
      <w:r>
        <w:t xml:space="preserve">그림 1은 두 팔이 공유하는 파이프라인이다. 완전 샘플링 16코일 k-space y_c에서 정답 x*(RSS 영상, 384×384 crop/pad)를 만들고, R=4 equispaced 마스크 M(ACS 8%)을 곱한 ỹ_c=M⊙y_c를 실수·허수로 분리한 (32, 384, 384) 텐서가 입력이다. 시퀀스 모델 f_θ가 k-space를 영상 도메인 특징(20채널)으로 직접 변환하고, 같은 ỹ_c를 코일별 역 FFT한 zero-filled 코일 영상(32채널)과 채널 결합해 후처리 U-Net g_φ(dual-frame skip, depth 5, 31.1M)가 magnitude 영상 x̂를 출력한다.</w:t>
      </w:r>
    </w:p>
    <w:p>
      <w:pPr>
        <w:pStyle w:val="af6"/>
        <w:tabs>
          <w:tab w:val="clear" w:pos="408"/>
          <w:tab w:val="clear" w:pos="686"/>
          <w:tab w:val="clear" w:pos="756"/>
          <w:tab w:val="center" w:pos="2131"/>
          <w:tab w:val="right" w:pos="4563"/>
        </w:tabs>
        <w:spacing w:before="100" w:after="160"/>
        <w:ind w:left="0" w:firstLine="0"/>
        <w:jc w:val="left"/>
      </w:pPr>
      <w:r>
        <w:tab/>
      </w:r>
      <m:oMath>
        <m:acc>
          <m:accPr>
            <m:chr m:val="̂"/>
          </m:accPr>
          <m:e>
            <m:r>
              <m:t xml:space="preserve">x</m:t>
            </m:r>
          </m:e>
        </m:acc>
        <m:r>
          <m:t xml:space="preserve">=</m:t>
        </m:r>
        <m:sSub>
          <m:e>
            <m:r>
              <m:t xml:space="preserve">g</m:t>
            </m:r>
          </m:e>
          <m:sub>
            <m:r>
              <m:t xml:space="preserve">φ</m:t>
            </m:r>
          </m:sub>
        </m:sSub>
        <m:d>
          <m:dPr/>
          <m:e>
            <m:r>
              <m:rPr>
                <m:sty m:val="p"/>
              </m:rPr>
              <m:t xml:space="preserve">concat</m:t>
            </m:r>
            <m:d>
              <m:dPr/>
              <m:e>
                <m:sSub>
                  <m:e>
                    <m:r>
                      <m:t xml:space="preserve">f</m:t>
                    </m:r>
                  </m:e>
                  <m:sub>
                    <m:r>
                      <m:t xml:space="preserve">θ</m:t>
                    </m:r>
                  </m:sub>
                </m:sSub>
                <m:r>
                  <m:t xml:space="preserve">({</m:t>
                </m:r>
                <m:sSub>
                  <m:e>
                    <m:acc>
                      <m:accPr>
                        <m:chr m:val="̃"/>
                      </m:accPr>
                      <m:e>
                        <m:r>
                          <m:t xml:space="preserve">y</m:t>
                        </m:r>
                      </m:e>
                    </m:acc>
                  </m:e>
                  <m:sub>
                    <m:r>
                      <m:t xml:space="preserve">c</m:t>
                    </m:r>
                  </m:sub>
                </m:sSub>
                <m:r>
                  <m:t xml:space="preserve">}),</m:t>
                </m:r>
                <m:sSup>
                  <m:e>
                    <m:r>
                      <m:rPr>
                        <m:scr m:val="script"/>
                      </m:rPr>
                      <m:t>F</m:t>
                    </m:r>
                  </m:e>
                  <m:sup>
                    <m:r>
                      <m:t xml:space="preserve">−1</m:t>
                    </m:r>
                  </m:sup>
                </m:sSup>
                <m:r>
                  <m:t xml:space="preserve">{</m:t>
                </m:r>
                <m:sSub>
                  <m:e>
                    <m:acc>
                      <m:accPr>
                        <m:chr m:val="̃"/>
                      </m:accPr>
                      <m:e>
                        <m:r>
                          <m:t xml:space="preserve">y</m:t>
                        </m:r>
                      </m:e>
                    </m:acc>
                  </m:e>
                  <m:sub>
                    <m:r>
                      <m:t xml:space="preserve">c</m:t>
                    </m:r>
                  </m:sub>
                </m:sSub>
                <m:r>
                  <m:t xml:space="preserve">}</m:t>
                </m:r>
              </m:e>
            </m:d>
          </m:e>
        </m:d>
      </m:oMath>
      <w:r>
        <w:tab/>
        <w:t xml:space="preserve">(1)</w:t>
      </w:r>
    </w:p>
    <w:p>
      <w:pPr>
        <w:pStyle w:val="a4"/>
      </w:pPr>
      <w:r>
        <w:t xml:space="preserve">점선 상자의 f_θ만이 두 팔 사이의 유일한 변수이며 데이터·마스크·손실·최적화·U-Net 구조는 동일하다. 두 팔은 가중치를 공유하지 않고 같은 레시피로 각각 처음부터 독립 학습하며, 원 논문에 따라 DC 블록은 두지 않는다.</w:t>
      </w:r>
    </w:p>
    <w:p>
      <w:pPr>
        <w:pStyle w:val="a3"/>
        <w:spacing w:before="60" w:after="60"/>
        <w:ind w:firstLine="0"/>
        <w:jc w:val="center"/>
      </w:pPr>
      <w:r>
        <w:drawing>
          <wp:inline distT="0" distB="0" distL="0" distR="0">
            <wp:extent cx="2897505" cy="1966595"/>
            <wp:effectExtent l="0" t="0" r="0" b="0"/>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14"/>
                    <a:stretch>
                      <a:fillRect/>
                    </a:stretch>
                  </pic:blipFill>
                  <pic:spPr>
                    <a:xfrm>
                      <a:off x="0" y="0"/>
                      <a:ext cx="2897505" cy="1966595"/>
                    </a:xfrm>
                    <a:prstGeom prst="rect">
                      <a:avLst/>
                    </a:prstGeom>
                  </pic:spPr>
                </pic:pic>
              </a:graphicData>
            </a:graphic>
          </wp:inline>
        </w:drawing>
      </w:r>
    </w:p>
    <w:p>
      <w:pPr>
        <w:pStyle w:val="a8"/>
      </w:pPr>
      <w:r>
        <w:t xml:space="preserve">그림</w:t>
      </w:r>
      <w:r>
        <w:tab/>
      </w:r>
      <w:r>
        <w:t xml:space="preserve">1.</w:t>
      </w:r>
      <w:r>
        <w:tab/>
      </w:r>
      <w:r>
        <w:t xml:space="preserve">두 팔이 공유하는 ETER-Net 통제 파이프라인(점선 상자의 f_θ만 변수)</w:t>
      </w:r>
    </w:p>
    <w:p>
      <w:pPr>
        <w:pStyle w:val="a6"/>
      </w:pPr>
      <w:r>
        <w:t xml:space="preserve">2. </w:t>
      </w:r>
      <w:r>
        <w:t xml:space="preserve">시퀀스 모델의 두 팔</w:t>
      </w:r>
    </w:p>
    <w:p>
      <w:pPr>
        <w:pStyle w:val="a4"/>
      </w:pPr>
      <w:r>
        <w:t xml:space="preserve">그림 2(a)의 bi-GRU 팔은 원본 ETER-Net 그대로 k-space를 384개 행의 시퀀스(스텝당 12,288차원)로 펼쳐 양방향 GRU를 통과시킨 뒤, 전치해 열 방향으로 한 번 더 통과시킨다. 두 GRU의 입력–은닉 행렬이 파라미터의 대부분이라 GRU 스택만 637.1M, 팔 전체 668.2M이며(원 코드의 hidden 배수 10 기준; canonical 12에서는 880.5M), 재귀는 스텝 순서대로만 계산된다. 그림 2(b)의 SS2D 팔은 픽셀별 LN·Linear(32→128)·SiLU와 depthwise conv 뒤에 선택적 스캔(S6)을 네 방향(각 행 →/←, 각 열 ↓/↑, L=384)으로 적용하고 네 출력을 채널 결합해 LN·Linear와 1×1 conv로 GRU와 같은 20채널에 정합한다. S6는 이산화된 상태공간 시스템</w:t>
      </w:r>
    </w:p>
    <w:p>
      <w:pPr>
        <w:pStyle w:val="af6"/>
        <w:tabs>
          <w:tab w:val="clear" w:pos="408"/>
          <w:tab w:val="clear" w:pos="686"/>
          <w:tab w:val="clear" w:pos="756"/>
          <w:tab w:val="center" w:pos="2131"/>
          <w:tab w:val="right" w:pos="4563"/>
        </w:tabs>
        <w:spacing w:before="100" w:after="160"/>
        <w:ind w:left="0" w:firstLine="0"/>
        <w:jc w:val="left"/>
      </w:pPr>
      <w:r>
        <w:tab/>
      </w:r>
      <m:oMath>
        <m:sSub>
          <m:e>
            <m:r>
              <m:t xml:space="preserve">h</m:t>
            </m:r>
          </m:e>
          <m:sub>
            <m:r>
              <m:t xml:space="preserve">t</m:t>
            </m:r>
          </m:sub>
        </m:sSub>
        <m:r>
          <m:t xml:space="preserve">=</m:t>
        </m:r>
        <m:r>
          <m:rPr>
            <m:sty m:val="p"/>
          </m:rPr>
          <m:t xml:space="preserve">exp(</m:t>
        </m:r>
        <m:sSub>
          <m:e>
            <m:r>
              <m:t xml:space="preserve">Δ</m:t>
            </m:r>
          </m:e>
          <m:sub>
            <m:r>
              <m:t xml:space="preserve">t</m:t>
            </m:r>
          </m:sub>
        </m:sSub>
        <m:r>
          <m:t xml:space="preserve">A) </m:t>
        </m:r>
        <m:sSub>
          <m:e>
            <m:r>
              <m:t xml:space="preserve">h</m:t>
            </m:r>
          </m:e>
          <m:sub>
            <m:r>
              <m:t xml:space="preserve">t−1</m:t>
            </m:r>
          </m:sub>
        </m:sSub>
        <m:r>
          <m:t xml:space="preserve">+</m:t>
        </m:r>
        <m:sSub>
          <m:e>
            <m:r>
              <m:t xml:space="preserve">Δ</m:t>
            </m:r>
          </m:e>
          <m:sub>
            <m:r>
              <m:t xml:space="preserve">t</m:t>
            </m:r>
          </m:sub>
        </m:sSub>
        <m:sSub>
          <m:e>
            <m:r>
              <m:t xml:space="preserve">B</m:t>
            </m:r>
          </m:e>
          <m:sub>
            <m:r>
              <m:t xml:space="preserve">t</m:t>
            </m:r>
          </m:sub>
        </m:sSub>
        <m:sSub>
          <m:e>
            <m:r>
              <m:t xml:space="preserve">x</m:t>
            </m:r>
          </m:e>
          <m:sub>
            <m:r>
              <m:t xml:space="preserve">t</m:t>
            </m:r>
          </m:sub>
        </m:sSub>
        <m:r>
          <m:t xml:space="preserve">, </m:t>
        </m:r>
        <m:sSub>
          <m:e>
            <m:r>
              <m:t xml:space="preserve">y</m:t>
            </m:r>
          </m:e>
          <m:sub>
            <m:r>
              <m:t xml:space="preserve">t</m:t>
            </m:r>
          </m:sub>
        </m:sSub>
        <m:r>
          <m:t xml:space="preserve">=</m:t>
        </m:r>
        <m:sSub>
          <m:e>
            <m:r>
              <m:t xml:space="preserve">C</m:t>
            </m:r>
          </m:e>
          <m:sub>
            <m:r>
              <m:t xml:space="preserve">t</m:t>
            </m:r>
          </m:sub>
        </m:sSub>
        <m:sSub>
          <m:e>
            <m:r>
              <m:t xml:space="preserve">h</m:t>
            </m:r>
          </m:e>
          <m:sub>
            <m:r>
              <m:t xml:space="preserve">t</m:t>
            </m:r>
          </m:sub>
        </m:sSub>
        <m:r>
          <m:t xml:space="preserve">+D</m:t>
        </m:r>
        <m:sSub>
          <m:e>
            <m:r>
              <m:t xml:space="preserve">x</m:t>
            </m:r>
          </m:e>
          <m:sub>
            <m:r>
              <m:t xml:space="preserve">t</m:t>
            </m:r>
          </m:sub>
        </m:sSub>
      </m:oMath>
      <w:r>
        <w:tab/>
        <w:t xml:space="preserve">(2)</w:t>
      </w:r>
    </w:p>
    <w:p>
      <w:pPr>
        <w:pStyle w:val="a4"/>
      </w:pPr>
      <w:r>
        <w:t xml:space="preserve">의 (Δ_t, B_t, C_t)를 입력 x_t에서 생성하는 선택적 순환으로(d_inner 128, d_state 16), 방향별 한 조의 가중치를 그 방향의 모든 행(열)이 공유하므로 SSM 스택은 0.12M(팔 전체 31.2M)에 그치고 스캔은 병렬 O(L)로 계산된다. 통제판은 게이팅 없는 단일 블록으로 용량을 GRU 이하로 억제한 최소 구성이다. 통제를 해제한 상한으로, Mamba 게이팅 y·SiLU(z)를 복원한 잔차 SS2D 블록 3개(d_inner 256, d_state 32, 출력 64채널)를 stride-3 다운샘플·fp16 스캔 위에 쌓은 강화 SS2D(34.2M)도 80 epoch 학습하였다.</w:t>
      </w:r>
    </w:p>
    <w:p>
      <w:pPr>
        <w:pStyle w:val="a3"/>
        <w:spacing w:before="60" w:after="60"/>
        <w:ind w:firstLine="0"/>
        <w:jc w:val="center"/>
      </w:pPr>
      <w:r>
        <w:drawing>
          <wp:inline distT="0" distB="0" distL="0" distR="0">
            <wp:extent cx="2897505" cy="2115185"/>
            <wp:effectExtent l="0" t="0" r="0" b="0"/>
            <wp:docPr id="1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15"/>
                    <a:stretch>
                      <a:fillRect/>
                    </a:stretch>
                  </pic:blipFill>
                  <pic:spPr>
                    <a:xfrm>
                      <a:off x="0" y="0"/>
                      <a:ext cx="2897505" cy="2115185"/>
                    </a:xfrm>
                    <a:prstGeom prst="rect">
                      <a:avLst/>
                    </a:prstGeom>
                  </pic:spPr>
                </pic:pic>
              </a:graphicData>
            </a:graphic>
          </wp:inline>
        </w:drawing>
      </w:r>
    </w:p>
    <w:p>
      <w:pPr>
        <w:pStyle w:val="a8"/>
      </w:pPr>
      <w:r>
        <w:t xml:space="preserve">그림</w:t>
      </w:r>
      <w:r>
        <w:tab/>
      </w:r>
      <w:r>
        <w:t xml:space="preserve">2.</w:t>
      </w:r>
      <w:r>
        <w:tab/>
      </w:r>
      <w:r>
        <w:t xml:space="preserve">시퀀스 모델 f_θ의 두 팔: (a) 원 bi-GRU, (b) SS2D</w:t>
      </w:r>
    </w:p>
    <w:p>
      <w:pPr>
        <w:pStyle w:val="a6"/>
      </w:pPr>
      <w:r>
        <w:t xml:space="preserve">3. </w:t>
      </w:r>
      <w:r>
        <w:t xml:space="preserve">학습·평가 프로토콜</w:t>
      </w:r>
    </w:p>
    <w:p>
      <w:pPr>
        <w:pStyle w:val="a4"/>
      </w:pPr>
      <w:r>
        <w:t xml:space="preserve">fastMRI brain multicoil</w:t>
      </w:r>
      <w:r>
        <w:rPr>
          <w:vertAlign w:val="superscript"/>
        </w:rPr>
        <w:t xml:space="preserve">[11]</w:t>
      </w:r>
      <w:r>
        <w:t xml:space="preserve"> 확보 서브셋(혼합 contrast: AXT1·AXT1POST·AXT1PRE·AXT2·AXFLAIR)을 공식 구획대로 사용하였다(train 4,108 파일/65,028 슬라이스, val 464 볼륨/7,334 슬라이스). 전처리는 full k-space → 역 FFT → 384×384 crop/pad → 재-FFT의 retrospective 프로토콜이고, 코일은 앞 16개를 사용하며, train 마스크 offset은 매 샘플 랜덤(val 고정), 증강은 flip 후 FFT 재계산이다. 배경이 값을 부풀리지 않도록 손실과 지표는 brain mask m(Otsu×0.4 + 최대 연결성분) 내부에서 계산하며, 손실은 다음과 같다.</w:t>
      </w:r>
    </w:p>
    <w:p>
      <w:pPr>
        <w:pStyle w:val="af6"/>
        <w:tabs>
          <w:tab w:val="clear" w:pos="408"/>
          <w:tab w:val="clear" w:pos="686"/>
          <w:tab w:val="clear" w:pos="756"/>
          <w:tab w:val="center" w:pos="2131"/>
          <w:tab w:val="right" w:pos="4563"/>
        </w:tabs>
        <w:spacing w:before="100" w:after="160"/>
        <w:ind w:left="0" w:firstLine="0"/>
        <w:jc w:val="left"/>
      </w:pPr>
      <w:r>
        <w:tab/>
      </w:r>
      <m:oMath>
        <m:r>
          <m:rPr>
            <m:scr m:val="script"/>
          </m:rPr>
          <m:t>L=</m:t>
        </m:r>
        <m:f>
          <m:num>
            <m:nary>
              <m:naryPr>
                <m:chr m:val="∑"/>
                <m:limLoc m:val="undOvr"/>
                <m:supHide m:val="1"/>
              </m:naryPr>
              <m:sub>
                <m:r>
                  <m:t xml:space="preserve">i</m:t>
                </m:r>
              </m:sub>
              <m:sup/>
              <m:e/>
            </m:nary>
            <m:sSub>
              <m:e>
                <m:r>
                  <m:t xml:space="preserve">m</m:t>
                </m:r>
              </m:e>
              <m:sub>
                <m:r>
                  <m:t xml:space="preserve">i</m:t>
                </m:r>
              </m:sub>
            </m:sSub>
            <m:d>
              <m:dPr>
                <m:begChr m:val="|"/>
                <m:endChr m:val="|"/>
              </m:dPr>
              <m:e>
                <m:sSub>
                  <m:e>
                    <m:acc>
                      <m:accPr>
                        <m:chr m:val="̂"/>
                      </m:accPr>
                      <m:e>
                        <m:r>
                          <m:t xml:space="preserve">x</m:t>
                        </m:r>
                      </m:e>
                    </m:acc>
                  </m:e>
                  <m:sub>
                    <m:r>
                      <m:t xml:space="preserve">i</m:t>
                    </m:r>
                  </m:sub>
                </m:sSub>
                <m:r>
                  <m:t xml:space="preserve">−</m:t>
                </m:r>
                <m:sSubSup>
                  <m:e>
                    <m:r>
                      <m:t xml:space="preserve">x</m:t>
                    </m:r>
                  </m:e>
                  <m:sub>
                    <m:r>
                      <m:t xml:space="preserve">i</m:t>
                    </m:r>
                  </m:sub>
                  <m:sup>
                    <m:r>
                      <m:t xml:space="preserve">∗</m:t>
                    </m:r>
                  </m:sup>
                </m:sSubSup>
              </m:e>
            </m:d>
          </m:num>
          <m:den>
            <m:nary>
              <m:naryPr>
                <m:chr m:val="∑"/>
                <m:limLoc m:val="undOvr"/>
                <m:supHide m:val="1"/>
              </m:naryPr>
              <m:sub>
                <m:r>
                  <m:t xml:space="preserve">i</m:t>
                </m:r>
              </m:sub>
              <m:sup/>
              <m:e/>
            </m:nary>
            <m:sSub>
              <m:e>
                <m:r>
                  <m:t xml:space="preserve">m</m:t>
                </m:r>
              </m:e>
              <m:sub>
                <m:r>
                  <m:t xml:space="preserve">i</m:t>
                </m:r>
              </m:sub>
            </m:sSub>
          </m:den>
        </m:f>
        <m:r>
          <m:t xml:space="preserve">+</m:t>
        </m:r>
        <m:d>
          <m:dPr/>
          <m:e>
            <m:r>
              <m:t xml:space="preserve">1−</m:t>
            </m:r>
            <m:sSub>
              <m:e>
                <m:r>
                  <m:rPr>
                    <m:sty m:val="p"/>
                  </m:rPr>
                  <m:t xml:space="preserve">SSIM</m:t>
                </m:r>
              </m:e>
              <m:sub>
                <m:r>
                  <m:t xml:space="preserve">m</m:t>
                </m:r>
              </m:sub>
            </m:sSub>
            <m:r>
              <m:t xml:space="preserve">(</m:t>
            </m:r>
            <m:acc>
              <m:accPr>
                <m:chr m:val="̂"/>
              </m:accPr>
              <m:e>
                <m:r>
                  <m:t xml:space="preserve">x</m:t>
                </m:r>
              </m:e>
            </m:acc>
            <m:r>
              <m:t xml:space="preserve">,</m:t>
            </m:r>
            <m:sSup>
              <m:e>
                <m:r>
                  <m:t xml:space="preserve">x</m:t>
                </m:r>
              </m:e>
              <m:sup>
                <m:r>
                  <m:t xml:space="preserve">∗</m:t>
                </m:r>
              </m:sup>
            </m:sSup>
            <m:r>
              <m:t xml:space="preserve">)</m:t>
            </m:r>
          </m:e>
        </m:d>
      </m:oMath>
      <w:r>
        <w:tab/>
        <w:t xml:space="preserve">(3)</w:t>
      </w:r>
    </w:p>
    <w:p>
      <w:pPr>
        <w:pStyle w:val="a4"/>
      </w:pPr>
      <w:r>
        <w:t xml:space="preserve">Adam(2×10⁻⁴, weight decay 3×10⁻⁵)·cosine 스케줄·AMP·batch 8·50 epoch(검증 매 2 epoch)으로 TITAN RTX 1장에서 학습하였다. 지표는 SSIM(주지표)·PSNR·nMSE(%)를 슬라이스 단위로 계산해 fastMRI 관례대로 볼륨 단위 평균±표준편차로 보고하고, paired 설계이므로 우위 비율(슬라이스·볼륨)과 볼륨 단위 Wilcoxon signed-rank 검정, 볼륨 클러스터 부트스트랩(2,000회) 95% 신뢰구간(CI)으로 유의성을 평가하였다.</w:t>
      </w:r>
    </w:p>
    <w:p>
      <w:pPr>
        <w:pStyle w:val="a5"/>
      </w:pPr>
      <w:r>
        <w:rPr>
          <w:rFonts w:ascii="바탕"/>
        </w:rPr>
        <w:t xml:space="preserve">Ⅲ</w:t>
      </w:r>
      <w:r>
        <w:t xml:space="preserve">. </w:t>
      </w:r>
      <w:r>
        <w:t xml:space="preserve">실험 결과</w:t>
      </w:r>
    </w:p>
    <w:p>
      <w:pPr>
        <w:pStyle w:val="a6"/>
      </w:pPr>
      <w:r>
        <w:t xml:space="preserve">1. </w:t>
      </w:r>
      <w:r>
        <w:t xml:space="preserve">정량 비교</w:t>
      </w:r>
    </w:p>
    <w:p>
      <w:pPr>
        <w:pStyle w:val="a4"/>
      </w:pPr>
      <w:r>
        <w:t xml:space="preserve">표 1은 best checkpoint 결과다. SS2D 치환 모델은 21배 적은 파라미터로 세 지표 전부에서 원 bi-GRU 설계를 상회했다. 슬라이스 단위 paired 비교에서 SS2D 우위 비율은 SSIM 78.2%(95% CI 76.8~79.7), PSNR 73.8%, nMSE 73.8%이고 볼륨 단위로는 94.8%·89.9%·90.1%였다(모든 지표 p&lt;0.001; ΔSSIM 평균 +0.0014, 95% CI +0.0013~+0.0015). 우위는 25회 검증 시점 전부(동률 1회)와 5개 contrast 서브그룹 전부(우위 슬라이스 ≥68.7%)에서 유지되었다. 다만 epoch당 학습 시간은 cuDNN GRU가 짧아(2.41 h 대 3.07 h) 효율 이점은 파라미터 수에 있다. 강화 SS2D는 통제판 대비 세 지표 모두 근소하게 개선되었으나(우위 슬라이스 54~56%), 이 이득은 동일 50 epoch 시점(SSIM 0.9130)이 아닌 80 epoch 연장 구간의 것이다.</w:t>
      </w:r>
    </w:p>
    <w:p>
      <w:pPr>
        <w:pStyle w:val="a8"/>
        <w:tabs>
          <w:tab w:val="left" w:pos="466"/>
        </w:tabs>
      </w:pPr>
      <w:r>
        <w:t xml:space="preserve">표</w:t>
      </w:r>
      <w:r>
        <w:tab/>
      </w:r>
      <w:r>
        <w:t xml:space="preserve">1.  </w:t>
      </w:r>
      <w:r>
        <w:t xml:space="preserve">검증 집합 전체(464 볼륨/7,334 슬라이스, R=4, brain-masked)의 볼륨 단위 결과(평균±표준편차)</w:t>
      </w:r>
    </w:p>
    <w:tbl>
      <w:tblPr>
        <w:tblOverlap w:val="never"/>
        <w:tblW w:w="4535" w:type="dxa"/>
        <w:tblInd w:w="28"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28" w:type="dxa"/>
          <w:right w:w="28" w:type="dxa"/>
        </w:tblCellMar>
        <w:tblLook w:val="0000" w:firstRow="0" w:lastRow="0" w:firstColumn="0" w:lastColumn="0" w:noHBand="0" w:noVBand="0"/>
      </w:tblPr>
      <w:tblGrid>
        <w:gridCol w:w="1060"/>
        <w:gridCol w:w="520"/>
        <w:gridCol w:w="1070"/>
        <w:gridCol w:w="900"/>
        <w:gridCol w:w="985"/>
      </w:tblGrid>
      <w:tr>
        <w:trPr>
          <w:trHeight w:val="262"/>
          <w:tblHeader/>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Method</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Params (M)</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SSIM ↑</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PSNR (dB) ↑</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nMSE (%) ↓</w:t>
            </w:r>
          </w:p>
        </w:tc>
      </w:tr>
      <w:tr>
        <w:trPr>
          <w:trHeight w:val="262"/>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Zero-filled</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0.7523±0.0410</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24.76±2.11</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3.935±2.166</w:t>
            </w:r>
          </w:p>
        </w:tc>
      </w:tr>
      <w:tr>
        <w:trPr>
          <w:trHeight w:val="262"/>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bi-GRU (original)</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668</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0.9127±0.0366</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33.78±1.86</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0.448±0.274</w:t>
            </w:r>
          </w:p>
        </w:tc>
      </w:tr>
      <w:tr>
        <w:trPr>
          <w:trHeight w:val="262"/>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SS2D (controlled)</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31</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u w:val="single"/>
              </w:rPr>
              <w:t xml:space="preserve">0.9141±0.0365</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u w:val="single"/>
              </w:rPr>
              <w:t xml:space="preserve">33.91±1.90</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0.438±0.283</w:t>
            </w:r>
          </w:p>
        </w:tc>
      </w:tr>
      <w:tr>
        <w:trPr>
          <w:trHeight w:val="262"/>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Enhanced SS2D</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34</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0.9146±0.0361</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33.92±1.90</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u w:val="single"/>
              </w:rPr>
              <w:t xml:space="preserve">0.439±0.304</w:t>
            </w:r>
          </w:p>
        </w:tc>
      </w:tr>
      <w:tr>
        <w:trPr>
          <w:trHeight w:val="262"/>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U-Net†</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496</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0.8971±0.0366</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30.95±2.29</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0.973±0.796</w:t>
            </w:r>
          </w:p>
        </w:tc>
      </w:tr>
      <w:tr>
        <w:trPr>
          <w:trHeight w:val="262"/>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E2E-VarNet†</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30</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0.9181±0.0386</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32.78±3.21</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1.133±1.291</w:t>
            </w:r>
          </w:p>
        </w:tc>
      </w:tr>
      <w:tr>
        <w:trPr>
          <w:trHeight w:val="262"/>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PromptMR+</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93</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0.9417±0.0349</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36.12±4.02</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0.526±0.841</w:t>
            </w:r>
          </w:p>
        </w:tc>
      </w:tr>
    </w:tbl>
    <w:p>
      <w:pPr>
        <w:pStyle w:val="a3"/>
        <w:spacing w:before="40" w:after="120" w:line="240" w:lineRule="auto"/>
        <w:ind w:firstLine="0"/>
        <w:jc w:val="left"/>
      </w:pPr>
      <w:r>
        <w:rPr>
          <w:sz w:val="16"/>
          <w:szCs w:val="16"/>
        </w:rPr>
        <w:t xml:space="preserve">위 네 행 = 본 연구(최고값 굵게·차선 밑줄); 아래 세 행 = 같은 프로토콜로 추론한 공개 모델 참고선. †: leaderboard 가중치(train+val 학습). PromptMR+: train 학습, 12-cascade unrolled, 인접 5슬라이스 입력.</w:t>
      </w:r>
    </w:p>
    <w:p>
      <w:pPr>
        <w:pStyle w:val="a6"/>
      </w:pPr>
      <w:r>
        <w:t xml:space="preserve">2. </w:t>
      </w:r>
      <w:r>
        <w:t xml:space="preserve">정성 비교와 참고선</w:t>
      </w:r>
    </w:p>
    <w:p>
      <w:pPr>
        <w:pStyle w:val="a4"/>
      </w:pPr>
      <w:r>
        <w:t xml:space="preserve">그림 3은 정본 검증 슬라이스의 재구성, brain-masked 오차 지도, ×4 gain 영상이다. 오차 지도에서 SS2D의 잔차가 전반적으로 작고, gain 영상에서는 bi-GRU 재구성에만 두개골 바깥 배경에 주기적 ringing 아티팩트가 남는다. 이 배경 아티팩트는 brain-masked 지표에 벌점을 주지 않으므로 표 1의 우위는 bi-GRU에 유리한 보수적 하한이다. 표 1 하단의 공개 모델은 참고선이다. U-Net†·E2E-VarNet†</w:t>
      </w:r>
      <w:r>
        <w:rPr>
          <w:vertAlign w:val="superscript"/>
        </w:rPr>
        <w:t xml:space="preserve">[2]</w:t>
      </w:r>
      <w:r>
        <w:t xml:space="preserve">는 train+val 합본으로 학습된 leaderboard 가중치라 우열 비교 대상이 아니고, PromptMR+</w:t>
      </w:r>
      <w:r>
        <w:rPr>
          <w:vertAlign w:val="superscript"/>
        </w:rPr>
        <w:t xml:space="preserve">[12]</w:t>
      </w:r>
      <w:r>
        <w:t xml:space="preserve">는 train 구획만 학습했으나 12-cascade unrolled 구조에 인접 5슬라이스를 입력받아 계열이 다르다.</w:t>
      </w:r>
    </w:p>
    <w:p>
      <w:pPr>
        <w:pStyle w:val="a3"/>
        <w:spacing w:before="60" w:after="60"/>
        <w:ind w:firstLine="0"/>
        <w:jc w:val="center"/>
      </w:pPr>
      <w:r>
        <w:drawing>
          <wp:inline distT="0" distB="0" distL="0" distR="0">
            <wp:extent cx="2897505" cy="2087880"/>
            <wp:effectExtent l="0" t="0" r="0" b="0"/>
            <wp:docPr id="1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6"/>
                    <a:stretch>
                      <a:fillRect/>
                    </a:stretch>
                  </pic:blipFill>
                  <pic:spPr>
                    <a:xfrm>
                      <a:off x="0" y="0"/>
                      <a:ext cx="2897505" cy="2087880"/>
                    </a:xfrm>
                    <a:prstGeom prst="rect">
                      <a:avLst/>
                    </a:prstGeom>
                  </pic:spPr>
                </pic:pic>
              </a:graphicData>
            </a:graphic>
          </wp:inline>
        </w:drawing>
      </w:r>
    </w:p>
    <w:p>
      <w:pPr>
        <w:pStyle w:val="a8"/>
      </w:pPr>
      <w:r>
        <w:t xml:space="preserve">그림</w:t>
      </w:r>
      <w:r>
        <w:tab/>
      </w:r>
      <w:r>
        <w:t xml:space="preserve">3.</w:t>
      </w:r>
      <w:r>
        <w:tab/>
      </w:r>
      <w:r>
        <w:t xml:space="preserve">검증 슬라이스(AXT2) 정성 비교: 재구성(위), brain-masked 오차(가운데), ×4 gain(아래)</w:t>
      </w:r>
    </w:p>
    <w:p>
      <w:pPr>
        <w:pStyle w:val="a5"/>
      </w:pPr>
      <w:r>
        <w:rPr>
          <w:rFonts w:ascii="바탕"/>
        </w:rPr>
        <w:t xml:space="preserve">Ⅳ</w:t>
      </w:r>
      <w:r>
        <w:t xml:space="preserve">. </w:t>
      </w:r>
      <w:r>
        <w:t xml:space="preserve">결  론</w:t>
      </w:r>
    </w:p>
    <w:p>
      <w:pPr>
        <w:pStyle w:val="a4"/>
      </w:pPr>
      <w:r>
        <w:t xml:space="preserve">ETER-Net의 도메인 변환 자리에서 bi-GRU를 SS2D로 치환하는 것만으로 DC 블록 없이, 21배 적은 파라미터로 표준 지표 전부와 대다수 슬라이스·볼륨에서 일관된 개선을 얻었고 배경 ringing 아티팩트도 억제되었다. 이 결론은 "SSM이 RNN보다 우월하다"는 일반론이 아니라 "SS2D 치환이 원 bi-GRU 설계보다 낫다"로 한정된다. 두 팔은 순환 메커니즘과 파라미터화가 함께 달라 각 요인의 기여를 분리하지 못했고, 단일 시드·단일 가속률(R=4)이라는 한계가 있다. 멀티시드 재현, Transformer·pixel-GRU 팔 추가, 가속률 일반화 학습을 진행 중이다.</w:t>
      </w:r>
    </w:p>
    <w:p>
      <w:pPr>
        <w:pStyle w:val="a5"/>
      </w:pPr>
      <w:r>
        <w:t xml:space="preserve">REFERENCES</w:t>
      </w:r>
    </w:p>
    <w:p>
      <w:pPr>
        <w:pStyle w:val="af5"/>
      </w:pPr>
      <w:r>
        <w:rPr>
          <w:w w:val="100"/>
        </w:rPr>
        <w:t xml:space="preserve">[1] </w:t>
      </w:r>
      <w:r>
        <w:t xml:space="preserve">K. Hammernik et al., "Learning a variational network for reconstruction of accelerated MRI data," </w:t>
      </w:r>
      <w:r>
        <w:rPr>
          <w:i/>
        </w:rPr>
        <w:t xml:space="preserve">Magnetic Resonance in Medicine</w:t>
      </w:r>
      <w:r>
        <w:t xml:space="preserve">, Vol. 79, no. 6, pp. 3055-3071, 2018.</w:t>
      </w:r>
    </w:p>
    <w:p>
      <w:pPr>
        <w:pStyle w:val="af5"/>
      </w:pPr>
      <w:r>
        <w:rPr>
          <w:w w:val="100"/>
        </w:rPr>
        <w:t xml:space="preserve">[2] </w:t>
      </w:r>
      <w:r>
        <w:t xml:space="preserve">A. Sriram et al., "End-to-End Variational Networks for Accelerated MRI Reconstruction," </w:t>
      </w:r>
      <w:r>
        <w:t xml:space="preserve">in </w:t>
      </w:r>
      <w:r>
        <w:rPr>
          <w:i/>
        </w:rPr>
        <w:t xml:space="preserve">Medical Image Computing and Computer Assisted Intervention (MICCAI 2020)</w:t>
      </w:r>
      <w:r>
        <w:t xml:space="preserve">, LNCS, Vol. 12262, pp. 64-73, 2020.</w:t>
      </w:r>
    </w:p>
    <w:p>
      <w:pPr>
        <w:pStyle w:val="af5"/>
      </w:pPr>
      <w:r>
        <w:rPr>
          <w:w w:val="100"/>
        </w:rPr>
        <w:t xml:space="preserve">[3] </w:t>
      </w:r>
      <w:r>
        <w:t xml:space="preserve">B. Zhu, J. Z. Liu, S. F. Cauley, B. R. Rosen, and M. S. Rosen, "Image reconstruction by domain-transform manifold learning," </w:t>
      </w:r>
      <w:r>
        <w:rPr>
          <w:i/>
        </w:rPr>
        <w:t xml:space="preserve">Nature</w:t>
      </w:r>
      <w:r>
        <w:t xml:space="preserve">, Vol. 555, pp. 487-492, 2018.</w:t>
      </w:r>
    </w:p>
    <w:p>
      <w:pPr>
        <w:pStyle w:val="af5"/>
      </w:pPr>
      <w:r>
        <w:rPr>
          <w:w w:val="100"/>
        </w:rPr>
        <w:t xml:space="preserve">[4] </w:t>
      </w:r>
      <w:r>
        <w:t xml:space="preserve">C. Oh, D. Kim, J.-Y. Chung, Y. Han, and H. Park, "A k-space-to-image reconstruction network for MRI using recurrent neural network," </w:t>
      </w:r>
      <w:r>
        <w:rPr>
          <w:i/>
        </w:rPr>
        <w:t xml:space="preserve">Medical Physics</w:t>
      </w:r>
      <w:r>
        <w:t xml:space="preserve">, Vol. 48, no. 1, pp. 193-203, 2021.</w:t>
      </w:r>
    </w:p>
    <w:p>
      <w:pPr>
        <w:pStyle w:val="af5"/>
      </w:pPr>
      <w:r>
        <w:rPr>
          <w:w w:val="100"/>
        </w:rPr>
        <w:t xml:space="preserve">[5] </w:t>
      </w:r>
      <w:r>
        <w:t xml:space="preserve">C. Oh, J.-Y. Chung, and Y. Han, "An End-to-End Recurrent Neural Network for Radial MR Image Reconstruction," </w:t>
      </w:r>
      <w:r>
        <w:rPr>
          <w:i/>
        </w:rPr>
        <w:t xml:space="preserve">Sensors</w:t>
      </w:r>
      <w:r>
        <w:t xml:space="preserve">, Vol. 22, no. 19, Art. no. 7277, 2022.</w:t>
      </w:r>
    </w:p>
    <w:p>
      <w:pPr>
        <w:pStyle w:val="af5"/>
      </w:pPr>
      <w:r>
        <w:rPr>
          <w:w w:val="100"/>
        </w:rPr>
        <w:t xml:space="preserve">[6] </w:t>
      </w:r>
      <w:r>
        <w:t xml:space="preserve">C. Oh, "A Hybrid Vision Transformer-BiRNN Architecture for Direct k-Space to Image Reconstruction in Accelerated MRI," </w:t>
      </w:r>
      <w:r>
        <w:rPr>
          <w:i/>
        </w:rPr>
        <w:t xml:space="preserve">Journal of Imaging</w:t>
      </w:r>
      <w:r>
        <w:t xml:space="preserve">, Vol. 12, no. 1, Art. no. 11, 2025.</w:t>
      </w:r>
    </w:p>
    <w:p>
      <w:pPr>
        <w:pStyle w:val="af5"/>
      </w:pPr>
      <w:r>
        <w:rPr>
          <w:w w:val="100"/>
        </w:rPr>
        <w:t xml:space="preserve">[7] </w:t>
      </w:r>
      <w:r>
        <w:t xml:space="preserve">A. Gu and T. Dao, "Mamba: Linear-Time Sequence Modeling with Selective State Spaces," </w:t>
      </w:r>
      <w:r>
        <w:t xml:space="preserve">arXiv preprint arXiv:2312.00752</w:t>
      </w:r>
      <w:r>
        <w:t xml:space="preserve">, 2023.</w:t>
      </w:r>
    </w:p>
    <w:p>
      <w:pPr>
        <w:pStyle w:val="af5"/>
      </w:pPr>
      <w:r>
        <w:rPr>
          <w:w w:val="100"/>
        </w:rPr>
        <w:t xml:space="preserve">[8] </w:t>
      </w:r>
      <w:r>
        <w:t xml:space="preserve">Y. Liu et al., "VMamba: Visual State Space Model," </w:t>
      </w:r>
      <w:r>
        <w:t xml:space="preserve">in </w:t>
      </w:r>
      <w:r>
        <w:rPr>
          <w:i/>
        </w:rPr>
        <w:t xml:space="preserve">Advances in Neural Information Processing Systems (NeurIPS)</w:t>
      </w:r>
      <w:r>
        <w:t xml:space="preserve">, 2024.</w:t>
      </w:r>
    </w:p>
    <w:p>
      <w:pPr>
        <w:pStyle w:val="af5"/>
      </w:pPr>
      <w:r>
        <w:rPr>
          <w:w w:val="100"/>
        </w:rPr>
        <w:t xml:space="preserve">[9] </w:t>
      </w:r>
      <w:r>
        <w:t xml:space="preserve">Y. Korkmaz and V. M. Patel, "MambaRecon: MRI Reconstruction with Structured State Space Models," </w:t>
      </w:r>
      <w:r>
        <w:t xml:space="preserve">in </w:t>
      </w:r>
      <w:r>
        <w:rPr>
          <w:i/>
        </w:rPr>
        <w:t xml:space="preserve">IEEE/CVF Winter Conference on Applications of Computer Vision (WACV)</w:t>
      </w:r>
      <w:r>
        <w:t xml:space="preserve">, 2025.</w:t>
      </w:r>
    </w:p>
    <w:p>
      <w:pPr>
        <w:pStyle w:val="af5"/>
      </w:pPr>
      <w:r>
        <w:rPr>
          <w:w w:val="100"/>
        </w:rPr>
        <w:t xml:space="preserve">[10] </w:t>
      </w:r>
      <w:r>
        <w:t xml:space="preserve">J. Huang et al., "Enhancing global sensitivity and uncertainty quantification in medical image reconstruction with Monte Carlo arbitrary-masked Mamba," </w:t>
      </w:r>
      <w:r>
        <w:rPr>
          <w:i/>
        </w:rPr>
        <w:t xml:space="preserve">Medical Image Analysis</w:t>
      </w:r>
      <w:r>
        <w:t xml:space="preserve">, Vol. 99, Art. no. 103334, 2025.</w:t>
      </w:r>
    </w:p>
    <w:p>
      <w:pPr>
        <w:pStyle w:val="af5"/>
      </w:pPr>
      <w:r>
        <w:rPr>
          <w:w w:val="100"/>
        </w:rPr>
        <w:t xml:space="preserve">[11] </w:t>
      </w:r>
      <w:r>
        <w:t xml:space="preserve">J. Zbontar, F. Knoll, A. Sriram et al., "fastMRI: An Open Dataset and Benchmarks for Accelerated MRI," </w:t>
      </w:r>
      <w:r>
        <w:t xml:space="preserve">arXiv preprint arXiv:1811.08839</w:t>
      </w:r>
      <w:r>
        <w:t xml:space="preserve">, 2018.</w:t>
      </w:r>
    </w:p>
    <w:p>
      <w:pPr>
        <w:pStyle w:val="af5"/>
      </w:pPr>
      <w:r>
        <w:rPr>
          <w:w w:val="100"/>
        </w:rPr>
        <w:t xml:space="preserve">[12] </w:t>
      </w:r>
      <w:r>
        <w:t xml:space="preserve">B. Xin, M. Ye, L. Axel, and D. N. Metaxas, "Rethinking Deep Unrolled Model for Accelerated MRI Reconstruction," </w:t>
      </w:r>
      <w:r>
        <w:t xml:space="preserve">in </w:t>
      </w:r>
      <w:r>
        <w:rPr>
          <w:i/>
        </w:rPr>
        <w:t xml:space="preserve">Computer Vision - ECCV 2024</w:t>
      </w:r>
      <w:r>
        <w:t xml:space="preserve">, LNCS, Vol. 15133, pp. 164-181, 2024.</w:t>
      </w:r>
    </w:p>
    <w:sectPr>
      <w:headerReference w:type="default" r:id="rId10"/>
      <w:footerReference w:type="default" r:id="rId11"/>
      <w:footnotePr>
        <w:numFmt w:val="lowerRoman"/>
        <w:numRestart w:val="eachPage"/>
      </w:footnotePr>
      <w:endnotePr>
        <w:numFmt w:val="decimal"/>
      </w:endnotePr>
      <w:pgSz w:w="11906" w:h="16838"/>
      <w:pgMar w:top="1984" w:right="1135" w:bottom="1138" w:left="1134" w:header="1134" w:footer="571" w:gutter="0"/>
      <w:cols w:num="2" w:space="51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58E3" w:rsidRDefault="00CF58E3">
      <w:pPr>
        <w:spacing w:after="0" w:line="240" w:lineRule="auto"/>
      </w:pPr>
      <w:r>
        <w:separator/>
      </w:r>
    </w:p>
  </w:endnote>
  <w:endnote w:type="continuationSeparator" w:id="0">
    <w:p w:rsidR="00CF58E3" w:rsidRDefault="00CF5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 w:name="한양신명조">
    <w:altName w:val="바탕"/>
    <w:panose1 w:val="00000000000000000000"/>
    <w:charset w:val="81"/>
    <w:family w:val="roman"/>
    <w:notTrueType/>
    <w:pitch w:val="default"/>
  </w:font>
  <w:font w:name="HY중고딕">
    <w:panose1 w:val="02030600000101010101"/>
    <w:charset w:val="81"/>
    <w:family w:val="roman"/>
    <w:pitch w:val="variable"/>
    <w:sig w:usb0="900002A7" w:usb1="29D77CF9" w:usb2="00000010" w:usb3="00000000" w:csb0="00080000" w:csb1="00000000"/>
  </w:font>
  <w:font w:name="한양중고딕">
    <w:altName w:val="바탕"/>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한양견고딕">
    <w:panose1 w:val="00000000000000000000"/>
    <w:charset w:val="81"/>
    <w:family w:val="roman"/>
    <w:notTrueType/>
    <w:pitch w:val="default"/>
  </w:font>
  <w:font w:name="한양견명조">
    <w:altName w:val="바탕"/>
    <w:panose1 w:val="00000000000000000000"/>
    <w:charset w:val="81"/>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7F1A" w:rsidRDefault="00A77F1A">
    <w:pPr>
      <w:pStyle w:val="a3"/>
      <w:wordWrap/>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58E3" w:rsidRDefault="00CF58E3">
      <w:pPr>
        <w:spacing w:after="0" w:line="240" w:lineRule="auto"/>
      </w:pPr>
      <w:r>
        <w:separator/>
      </w:r>
    </w:p>
  </w:footnote>
  <w:footnote w:type="continuationSeparator" w:id="0">
    <w:p w:rsidR="00CF58E3" w:rsidRDefault="00CF58E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7F1A" w:rsidRDefault="00CF58E3">
    <w:pPr>
      <w:pStyle w:val="af"/>
      <w:tabs>
        <w:tab w:val="center" w:pos="5150"/>
        <w:tab w:val="right" w:pos="10150"/>
      </w:tabs>
      <w:jc w:val="right"/>
    </w:pPr>
    <w:r>
      <w:fldChar w:fldCharType="begin"/>
    </w:r>
    <w:r>
      <w:instrText>PAGE  \* ARABIC</w:instrText>
    </w:r>
    <w:r>
      <w:fldChar w:fldCharType="separate"/>
    </w:r>
    <w:r w:rsidR="00451151">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49"/>
  </w:hdrShapeDefaults>
  <w:footnotePr>
    <w:numFmt w:val="lowerRoman"/>
    <w:numRestart w:val="eachPage"/>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A77F1A"/>
    <w:rsid w:val="00451151"/>
    <w:rsid w:val="00A77F1A"/>
    <w:rsid w:val="00CF58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tabs>
        <w:tab w:val="left" w:pos="577"/>
      </w:tabs>
      <w:wordWrap w:val="0"/>
      <w:autoSpaceDE w:val="0"/>
      <w:autoSpaceDN w:val="0"/>
      <w:snapToGrid w:val="0"/>
      <w:spacing w:after="0" w:line="384" w:lineRule="auto"/>
      <w:textAlignment w:val="baseline"/>
    </w:pPr>
    <w:rPr>
      <w:rFonts w:ascii="한양신명조" w:eastAsia="한양신명조"/>
      <w:color w:val="000000"/>
      <w:spacing w:val="-5"/>
      <w:w w:val="95"/>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firstLine="200"/>
      <w:textAlignment w:val="baseline"/>
    </w:pPr>
    <w:rPr>
      <w:rFonts w:ascii="한양신명조" w:eastAsia="한양신명조"/>
      <w:color w:val="000000"/>
      <w:spacing w:val="-5"/>
      <w:w w:val="95"/>
    </w:rPr>
  </w:style>
  <w:style w:type="paragraph" w:customStyle="1" w:styleId="a5">
    <w:name w:val="각 장 제목"/>
    <w:uiPriority w:val="2"/>
    <w:pPr>
      <w:widowControl w:val="0"/>
      <w:pBdr>
        <w:top w:val="none" w:sz="2" w:space="0" w:color="000000"/>
        <w:left w:val="none" w:sz="2" w:space="0" w:color="000000"/>
        <w:bottom w:val="none" w:sz="2" w:space="0" w:color="000000"/>
        <w:right w:val="none" w:sz="2" w:space="0" w:color="000000"/>
      </w:pBdr>
      <w:autoSpaceDE w:val="0"/>
      <w:autoSpaceDN w:val="0"/>
      <w:snapToGrid w:val="0"/>
      <w:spacing w:after="300" w:line="384" w:lineRule="auto"/>
      <w:jc w:val="center"/>
      <w:textAlignment w:val="baseline"/>
    </w:pPr>
    <w:rPr>
      <w:rFonts w:ascii="HY중고딕" w:eastAsia="HY중고딕"/>
      <w:b/>
      <w:color w:val="000000"/>
      <w:spacing w:val="-11"/>
      <w:sz w:val="22"/>
    </w:rPr>
  </w:style>
  <w:style w:type="paragraph" w:customStyle="1" w:styleId="a6">
    <w:name w:val="각 절 제목"/>
    <w:uiPriority w:val="3"/>
    <w:pPr>
      <w:widowControl w:val="0"/>
      <w:pBdr>
        <w:top w:val="none" w:sz="2" w:space="0" w:color="000000"/>
        <w:left w:val="none" w:sz="2" w:space="0" w:color="000000"/>
        <w:bottom w:val="none" w:sz="2" w:space="0" w:color="000000"/>
        <w:right w:val="none" w:sz="2" w:space="0" w:color="000000"/>
      </w:pBdr>
      <w:tabs>
        <w:tab w:val="left" w:pos="577"/>
      </w:tabs>
      <w:wordWrap w:val="0"/>
      <w:autoSpaceDE w:val="0"/>
      <w:autoSpaceDN w:val="0"/>
      <w:snapToGrid w:val="0"/>
      <w:spacing w:after="0" w:line="384" w:lineRule="auto"/>
      <w:ind w:firstLine="200"/>
      <w:textAlignment w:val="baseline"/>
    </w:pPr>
    <w:rPr>
      <w:rFonts w:ascii="HY중고딕" w:eastAsia="HY중고딕"/>
      <w:color w:val="000000"/>
      <w:spacing w:val="-5"/>
      <w:w w:val="95"/>
      <w:sz w:val="22"/>
    </w:rPr>
  </w:style>
  <w:style w:type="paragraph" w:customStyle="1" w:styleId="a7">
    <w:name w:val="각 항 제목"/>
    <w:uiPriority w:val="4"/>
    <w:pPr>
      <w:widowControl w:val="0"/>
      <w:pBdr>
        <w:top w:val="none" w:sz="2" w:space="0" w:color="000000"/>
        <w:left w:val="none" w:sz="2" w:space="0" w:color="000000"/>
        <w:bottom w:val="none" w:sz="2" w:space="0" w:color="000000"/>
        <w:right w:val="none" w:sz="2" w:space="0" w:color="000000"/>
      </w:pBdr>
      <w:tabs>
        <w:tab w:val="left" w:pos="577"/>
      </w:tabs>
      <w:wordWrap w:val="0"/>
      <w:autoSpaceDE w:val="0"/>
      <w:autoSpaceDN w:val="0"/>
      <w:snapToGrid w:val="0"/>
      <w:spacing w:after="0" w:line="384" w:lineRule="auto"/>
      <w:ind w:firstLine="200"/>
      <w:textAlignment w:val="baseline"/>
    </w:pPr>
    <w:rPr>
      <w:rFonts w:ascii="HY중고딕" w:eastAsia="HY중고딕"/>
      <w:color w:val="000000"/>
      <w:spacing w:val="-5"/>
      <w:w w:val="95"/>
    </w:rPr>
  </w:style>
  <w:style w:type="paragraph" w:customStyle="1" w:styleId="a8">
    <w:name w:val="그림/표 제목"/>
    <w:uiPriority w:val="5"/>
    <w:pPr>
      <w:widowControl w:val="0"/>
      <w:pBdr>
        <w:top w:val="none" w:sz="2" w:space="0" w:color="000000"/>
        <w:left w:val="none" w:sz="2" w:space="0" w:color="000000"/>
        <w:bottom w:val="none" w:sz="2" w:space="0" w:color="000000"/>
        <w:right w:val="none" w:sz="2" w:space="0" w:color="000000"/>
      </w:pBdr>
      <w:tabs>
        <w:tab w:val="left" w:pos="408"/>
        <w:tab w:val="left" w:pos="686"/>
        <w:tab w:val="left" w:pos="756"/>
      </w:tabs>
      <w:wordWrap w:val="0"/>
      <w:autoSpaceDE w:val="0"/>
      <w:autoSpaceDN w:val="0"/>
      <w:snapToGrid w:val="0"/>
      <w:spacing w:after="0" w:line="312" w:lineRule="auto"/>
      <w:ind w:left="680" w:hanging="680"/>
      <w:textAlignment w:val="baseline"/>
    </w:pPr>
    <w:rPr>
      <w:rFonts w:ascii="한양중고딕" w:eastAsia="한양중고딕"/>
      <w:color w:val="000000"/>
      <w:spacing w:val="-5"/>
      <w:w w:val="95"/>
    </w:rPr>
  </w:style>
  <w:style w:type="paragraph" w:customStyle="1" w:styleId="a9">
    <w:name w:val="한글제목"/>
    <w:uiPriority w:val="6"/>
    <w:pPr>
      <w:widowControl w:val="0"/>
      <w:pBdr>
        <w:top w:val="none" w:sz="2" w:space="0" w:color="000000"/>
        <w:left w:val="none" w:sz="2" w:space="0" w:color="000000"/>
        <w:bottom w:val="none" w:sz="2" w:space="0" w:color="000000"/>
        <w:right w:val="none" w:sz="2" w:space="0" w:color="000000"/>
      </w:pBdr>
      <w:autoSpaceDE w:val="0"/>
      <w:autoSpaceDN w:val="0"/>
      <w:snapToGrid w:val="0"/>
      <w:spacing w:before="360" w:after="160" w:line="384" w:lineRule="auto"/>
      <w:jc w:val="center"/>
      <w:textAlignment w:val="baseline"/>
    </w:pPr>
    <w:rPr>
      <w:rFonts w:ascii="한양신명조" w:eastAsia="한양신명조"/>
      <w:color w:val="000000"/>
      <w:spacing w:val="-20"/>
      <w:w w:val="90"/>
      <w:sz w:val="40"/>
    </w:rPr>
  </w:style>
  <w:style w:type="paragraph" w:customStyle="1" w:styleId="aa">
    <w:name w:val="영문제목"/>
    <w:uiPriority w:val="7"/>
    <w:pPr>
      <w:widowControl w:val="0"/>
      <w:pBdr>
        <w:top w:val="none" w:sz="2" w:space="0" w:color="000000"/>
        <w:left w:val="none" w:sz="2" w:space="0" w:color="000000"/>
        <w:bottom w:val="none" w:sz="2" w:space="0" w:color="000000"/>
        <w:right w:val="none" w:sz="2" w:space="0" w:color="000000"/>
      </w:pBdr>
      <w:autoSpaceDE w:val="0"/>
      <w:autoSpaceDN w:val="0"/>
      <w:snapToGrid w:val="0"/>
      <w:spacing w:after="280" w:line="312" w:lineRule="auto"/>
      <w:ind w:left="200" w:right="200"/>
      <w:jc w:val="center"/>
      <w:textAlignment w:val="baseline"/>
    </w:pPr>
    <w:rPr>
      <w:rFonts w:ascii="한양신명조" w:eastAsia="한양신명조"/>
      <w:color w:val="000000"/>
      <w:w w:val="90"/>
      <w:sz w:val="30"/>
    </w:rPr>
  </w:style>
  <w:style w:type="paragraph" w:customStyle="1" w:styleId="ab">
    <w:name w:val="한글저자"/>
    <w:uiPriority w:val="8"/>
    <w:pPr>
      <w:widowControl w:val="0"/>
      <w:pBdr>
        <w:top w:val="none" w:sz="2" w:space="0" w:color="000000"/>
        <w:left w:val="none" w:sz="2" w:space="0" w:color="000000"/>
        <w:bottom w:val="none" w:sz="2" w:space="0" w:color="000000"/>
        <w:right w:val="none" w:sz="2" w:space="0" w:color="000000"/>
      </w:pBdr>
      <w:autoSpaceDE w:val="0"/>
      <w:autoSpaceDN w:val="0"/>
      <w:snapToGrid w:val="0"/>
      <w:spacing w:after="160" w:line="408" w:lineRule="auto"/>
      <w:jc w:val="center"/>
      <w:textAlignment w:val="baseline"/>
    </w:pPr>
    <w:rPr>
      <w:rFonts w:ascii="한양신명조" w:eastAsia="한양신명조"/>
      <w:color w:val="000000"/>
      <w:sz w:val="24"/>
    </w:rPr>
  </w:style>
  <w:style w:type="paragraph" w:customStyle="1" w:styleId="ac">
    <w:name w:val="영문저자"/>
    <w:uiPriority w:val="9"/>
    <w:pPr>
      <w:widowControl w:val="0"/>
      <w:pBdr>
        <w:top w:val="none" w:sz="2" w:space="0" w:color="000000"/>
        <w:left w:val="none" w:sz="2" w:space="0" w:color="000000"/>
        <w:bottom w:val="none" w:sz="2" w:space="0" w:color="000000"/>
        <w:right w:val="none" w:sz="2" w:space="0" w:color="000000"/>
      </w:pBdr>
      <w:autoSpaceDE w:val="0"/>
      <w:autoSpaceDN w:val="0"/>
      <w:snapToGrid w:val="0"/>
      <w:spacing w:after="280" w:line="408" w:lineRule="auto"/>
      <w:jc w:val="center"/>
      <w:textAlignment w:val="baseline"/>
    </w:pPr>
    <w:rPr>
      <w:rFonts w:ascii="한양신명조" w:eastAsia="한양신명조"/>
      <w:color w:val="000000"/>
      <w:spacing w:val="-11"/>
      <w:sz w:val="22"/>
    </w:rPr>
  </w:style>
  <w:style w:type="paragraph" w:customStyle="1" w:styleId="ad">
    <w:name w:val="요약"/>
    <w:uiPriority w:val="10"/>
    <w:pPr>
      <w:widowControl w:val="0"/>
      <w:pBdr>
        <w:top w:val="none" w:sz="2" w:space="0" w:color="000000"/>
        <w:left w:val="none" w:sz="2" w:space="0" w:color="000000"/>
        <w:bottom w:val="none" w:sz="2" w:space="0" w:color="000000"/>
        <w:right w:val="none" w:sz="2" w:space="0" w:color="000000"/>
      </w:pBdr>
      <w:autoSpaceDE w:val="0"/>
      <w:autoSpaceDN w:val="0"/>
      <w:snapToGrid w:val="0"/>
      <w:spacing w:after="140" w:line="408" w:lineRule="auto"/>
      <w:jc w:val="center"/>
      <w:textAlignment w:val="baseline"/>
    </w:pPr>
    <w:rPr>
      <w:rFonts w:ascii="한양중고딕" w:eastAsia="한양중고딕"/>
      <w:color w:val="000000"/>
    </w:rPr>
  </w:style>
  <w:style w:type="paragraph" w:customStyle="1" w:styleId="ae">
    <w:name w:val="요약본문"/>
    <w:uiPriority w:val="1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320" w:line="312" w:lineRule="auto"/>
      <w:ind w:left="340" w:right="340" w:firstLine="200"/>
      <w:textAlignment w:val="baseline"/>
    </w:pPr>
    <w:rPr>
      <w:rFonts w:ascii="한양신명조" w:eastAsia="한양신명조"/>
      <w:color w:val="000000"/>
      <w:spacing w:val="-4"/>
      <w:w w:val="95"/>
      <w:sz w:val="18"/>
    </w:rPr>
  </w:style>
  <w:style w:type="paragraph" w:customStyle="1" w:styleId="Abstract">
    <w:name w:val="Abstract"/>
    <w:uiPriority w:val="12"/>
    <w:pPr>
      <w:widowControl w:val="0"/>
      <w:pBdr>
        <w:top w:val="none" w:sz="2" w:space="0" w:color="000000"/>
        <w:left w:val="none" w:sz="2" w:space="0" w:color="000000"/>
        <w:bottom w:val="none" w:sz="2" w:space="0" w:color="000000"/>
        <w:right w:val="none" w:sz="2" w:space="0" w:color="000000"/>
      </w:pBdr>
      <w:autoSpaceDE w:val="0"/>
      <w:autoSpaceDN w:val="0"/>
      <w:snapToGrid w:val="0"/>
      <w:spacing w:after="140" w:line="408" w:lineRule="auto"/>
      <w:ind w:left="500" w:right="500"/>
      <w:jc w:val="center"/>
      <w:textAlignment w:val="baseline"/>
    </w:pPr>
    <w:rPr>
      <w:rFonts w:ascii="바탕" w:eastAsia="바탕"/>
      <w:b/>
      <w:color w:val="000000"/>
    </w:rPr>
  </w:style>
  <w:style w:type="paragraph" w:customStyle="1" w:styleId="af">
    <w:name w:val="머릿말"/>
    <w:uiPriority w:val="13"/>
    <w:pPr>
      <w:widowControl w:val="0"/>
      <w:pBdr>
        <w:top w:val="none" w:sz="2" w:space="0" w:color="000000"/>
        <w:left w:val="none" w:sz="2" w:space="0" w:color="000000"/>
        <w:bottom w:val="none" w:sz="2" w:space="0" w:color="000000"/>
        <w:right w:val="none" w:sz="2" w:space="0" w:color="000000"/>
      </w:pBdr>
      <w:tabs>
        <w:tab w:val="center" w:pos="3972"/>
        <w:tab w:val="right" w:pos="8568"/>
      </w:tabs>
      <w:autoSpaceDE w:val="0"/>
      <w:autoSpaceDN w:val="0"/>
      <w:snapToGrid w:val="0"/>
      <w:spacing w:after="0" w:line="312" w:lineRule="auto"/>
      <w:jc w:val="center"/>
      <w:textAlignment w:val="baseline"/>
    </w:pPr>
    <w:rPr>
      <w:rFonts w:ascii="HY중고딕" w:eastAsia="HY중고딕"/>
      <w:color w:val="000000"/>
      <w:w w:val="90"/>
      <w:sz w:val="18"/>
    </w:rPr>
  </w:style>
  <w:style w:type="paragraph" w:customStyle="1" w:styleId="af0">
    <w:name w:val="꼬리말"/>
    <w:uiPriority w:val="1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12" w:lineRule="auto"/>
      <w:jc w:val="center"/>
      <w:textAlignment w:val="baseline"/>
    </w:pPr>
    <w:rPr>
      <w:rFonts w:ascii="한양중고딕" w:eastAsia="한양중고딕"/>
      <w:color w:val="000000"/>
      <w:spacing w:val="4"/>
      <w:w w:val="90"/>
      <w:sz w:val="16"/>
    </w:rPr>
  </w:style>
  <w:style w:type="paragraph" w:customStyle="1" w:styleId="af1">
    <w:name w:val="쪽 번호"/>
    <w:uiPriority w:val="1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견고딕" w:eastAsia="한양견고딕"/>
      <w:color w:val="000000"/>
    </w:rPr>
  </w:style>
  <w:style w:type="paragraph" w:customStyle="1" w:styleId="af2">
    <w:name w:val="각주내용"/>
    <w:uiPriority w:val="1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textAlignment w:val="baseline"/>
    </w:pPr>
    <w:rPr>
      <w:rFonts w:ascii="한양신명조" w:eastAsia="한양신명조"/>
      <w:color w:val="000000"/>
      <w:sz w:val="18"/>
    </w:rPr>
  </w:style>
  <w:style w:type="paragraph" w:customStyle="1" w:styleId="af3">
    <w:name w:val="논문번호"/>
    <w:uiPriority w:val="17"/>
    <w:pPr>
      <w:widowControl w:val="0"/>
      <w:pBdr>
        <w:top w:val="none" w:sz="2" w:space="0" w:color="000000"/>
        <w:left w:val="none" w:sz="2" w:space="0" w:color="000000"/>
        <w:bottom w:val="none" w:sz="2" w:space="0" w:color="000000"/>
        <w:right w:val="none" w:sz="2" w:space="0" w:color="000000"/>
      </w:pBdr>
      <w:tabs>
        <w:tab w:val="left" w:pos="577"/>
      </w:tabs>
      <w:autoSpaceDE w:val="0"/>
      <w:autoSpaceDN w:val="0"/>
      <w:snapToGrid w:val="0"/>
      <w:spacing w:line="240" w:lineRule="auto"/>
      <w:jc w:val="left"/>
      <w:textAlignment w:val="baseline"/>
    </w:pPr>
    <w:rPr>
      <w:rFonts w:ascii="HY중고딕" w:eastAsia="HY중고딕"/>
      <w:color w:val="000000"/>
      <w:spacing w:val="5"/>
      <w:w w:val="95"/>
    </w:rPr>
  </w:style>
  <w:style w:type="character" w:customStyle="1" w:styleId="Keywords">
    <w:name w:val="Keywords제목"/>
    <w:uiPriority w:val="18"/>
    <w:rPr>
      <w:rFonts w:ascii="한양견명조" w:eastAsia="한양견명조"/>
      <w:color w:val="000000"/>
      <w:w w:val="95"/>
      <w:sz w:val="18"/>
    </w:rPr>
  </w:style>
  <w:style w:type="character" w:customStyle="1" w:styleId="Keywords0">
    <w:name w:val="Keywords내용"/>
    <w:uiPriority w:val="19"/>
    <w:rPr>
      <w:rFonts w:ascii="한양신명조" w:eastAsia="한양신명조"/>
      <w:color w:val="000000"/>
      <w:w w:val="95"/>
      <w:sz w:val="18"/>
    </w:rPr>
  </w:style>
  <w:style w:type="character" w:customStyle="1" w:styleId="af4">
    <w:name w:val="참고문헌번호"/>
    <w:uiPriority w:val="20"/>
    <w:rPr>
      <w:rFonts w:ascii="돋움" w:eastAsia="돋움"/>
      <w:color w:val="000000"/>
      <w:sz w:val="18"/>
      <w:vertAlign w:val="superscript"/>
    </w:rPr>
  </w:style>
  <w:style w:type="paragraph" w:customStyle="1" w:styleId="af5">
    <w:name w:val="참고문헌내용"/>
    <w:uiPriority w:val="2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360" w:hanging="360"/>
      <w:textAlignment w:val="baseline"/>
    </w:pPr>
    <w:rPr>
      <w:rFonts w:ascii="한양신명조" w:eastAsia="한양신명조"/>
      <w:color w:val="000000"/>
      <w:spacing w:val="-5"/>
      <w:w w:val="95"/>
    </w:rPr>
  </w:style>
  <w:style w:type="character" w:customStyle="1" w:styleId="-">
    <w:name w:val="저자소개-이름"/>
    <w:uiPriority w:val="22"/>
    <w:rPr>
      <w:rFonts w:ascii="한양중고딕" w:eastAsia="한양중고딕"/>
      <w:color w:val="000000"/>
      <w:sz w:val="22"/>
    </w:rPr>
  </w:style>
  <w:style w:type="paragraph" w:customStyle="1" w:styleId="-0">
    <w:name w:val="저자소개-약력"/>
    <w:uiPriority w:val="2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textAlignment w:val="baseline"/>
    </w:pPr>
    <w:rPr>
      <w:rFonts w:ascii="한양신명조" w:eastAsia="한양신명조"/>
      <w:color w:val="000000"/>
    </w:rPr>
  </w:style>
  <w:style w:type="paragraph" w:customStyle="1" w:styleId="af6">
    <w:name w:val="수식번호"/>
    <w:uiPriority w:val="24"/>
    <w:pPr>
      <w:widowControl w:val="0"/>
      <w:pBdr>
        <w:top w:val="none" w:sz="2" w:space="0" w:color="000000"/>
        <w:left w:val="none" w:sz="2" w:space="0" w:color="000000"/>
        <w:bottom w:val="none" w:sz="2" w:space="0" w:color="000000"/>
        <w:right w:val="none" w:sz="2" w:space="0" w:color="000000"/>
      </w:pBdr>
      <w:tabs>
        <w:tab w:val="left" w:pos="408"/>
        <w:tab w:val="left" w:pos="686"/>
        <w:tab w:val="left" w:pos="756"/>
      </w:tabs>
      <w:wordWrap w:val="0"/>
      <w:autoSpaceDE w:val="0"/>
      <w:autoSpaceDN w:val="0"/>
      <w:snapToGrid w:val="0"/>
      <w:spacing w:after="0" w:line="384" w:lineRule="auto"/>
      <w:textAlignment w:val="baseline"/>
    </w:pPr>
    <w:rPr>
      <w:rFonts w:ascii="한양신명조" w:eastAsia="한양신명조"/>
      <w:color w:val="000000"/>
      <w:spacing w:val="-5"/>
      <w:w w:val="95"/>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14" Type="http://schemas.openxmlformats.org/officeDocument/2006/relationships/image" Target="media/fig1.png"/><Relationship Id="rId15" Type="http://schemas.openxmlformats.org/officeDocument/2006/relationships/image" Target="media/fig2.png"/><Relationship Id="rId16" Type="http://schemas.openxmlformats.org/officeDocument/2006/relationships/image" Target="media/fig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347</Words>
  <Characters>1984</Characters>
  <Application>Microsoft Office Word</Application>
  <DocSecurity>0</DocSecurity>
  <Lines>16</Lines>
  <Paragraphs>4</Paragraphs>
  <ScaleCrop>false</ScaleCrop>
  <Company>Hewlett-Packard Company</Company>
  <LinksUpToDate>false</LinksUpToDate>
  <CharactersWithSpaces>2327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가속 MRI 재구성 네트워크 ETER-Net에서 순환신경망을 선택적 상태공간모델로 치환한 통제 연구</dc:title>
  <dc:subject>IEIE 투고용 초안</dc:subject>
  <dc:creator/>
  <cp:lastModifiedBy/>
  <cp:revision>2</cp:revision>
  <dcterms:created xsi:type="dcterms:W3CDTF">2002-02-07T08:08:00Z</dcterms:created>
  <dcterms:modified xsi:type="dcterms:W3CDTF">2021-07-30T01:40:00Z</dcterms:modified>
</cp:coreProperties>
</file>