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bookmarkStart w:id="0" w:name="_top"/>
            <w:bookmarkEnd w:id="0"/>
            <w:r>
              <w:rPr>
                <w:rFonts w:ascii="바탕" w:eastAsia="바탕"/>
                <w:b/>
                <w:w w:val="95"/>
                <w:sz w:val="36"/>
                <w:szCs w:val="36"/>
              </w:rPr>
              <w:t xml:space="preserve">ETER-Net MRI 재구성에서 순환신경망을 선택적 상태공간모델로 치환한 단일 변수 통제 비교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</w:pPr>
    </w:p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***,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소속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e-mail :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  <w:szCs w:val="24"/>
              </w:rPr>
              <w:t xml:space="preserve">A Controlled Single-Variable Comparison of Replacing the Recurrent Neural Network with a Selective State-Space Model in ETER-Net MRI Reconstruction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and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University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  <w:sectPr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  <w:b/>
          <w:sz w:val="24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b/>
          <w:sz w:val="24"/>
          <w:szCs w:val="24"/>
        </w:rPr>
        <w:t xml:space="preserve">Abstract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 reconstructs MR images directly from undersampled k-space with a bidirectional GRU that performs the k-space-to-image domain transform. We replace only this bi-GRU with a two-dimensional selective state-space model (SS2D), keeping the data, mask, loss, optimizer, schedule, and post-processing U-Net identical, on fastMRI brain multicoil data at 4-fold acceleration. SS2D improves all three standard metrics (volume-averaged SSIM 0.9141 vs. 0.9127) with 21× fewer parameters (31M vs. 668M) and wins on 74–78% of 7,334 validation slices (Wilcoxon p&lt;0.001); an enhanced SS2D variant adds a small but significant gain (SSIM 0.9146).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Ⅰ. 서론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MRI는 k-space를 순차 수집하므로 촬영이 느리며, 언더샘플링 후 딥러닝 복원은 물리 모델 반복을 펼치는 unrolled 계열</w:t>
      </w:r>
      <w:r>
        <w:rPr>
          <w:rFonts w:ascii="HY신명조" w:eastAsia="HY신명조" w:hint="eastAsia"/>
          <w:sz w:val="18"/>
          <w:szCs w:val="18"/>
        </w:rPr>
        <w:t xml:space="preserve">[1]</w:t>
      </w:r>
      <w:r>
        <w:rPr>
          <w:rFonts w:ascii="HY신명조" w:eastAsia="HY신명조" w:hint="eastAsia"/>
          <w:sz w:val="18"/>
          <w:szCs w:val="18"/>
        </w:rPr>
        <w:t xml:space="preserve">과 신경망이 k-space를 영상으로 직접 변환하는 도메인 변환 계열</w:t>
      </w:r>
      <w:r>
        <w:rPr>
          <w:rFonts w:ascii="HY신명조" w:eastAsia="HY신명조" w:hint="eastAsia"/>
          <w:sz w:val="18"/>
          <w:szCs w:val="18"/>
        </w:rPr>
        <w:t xml:space="preserve">[2]</w:t>
      </w:r>
      <w:r>
        <w:rPr>
          <w:rFonts w:ascii="HY신명조" w:eastAsia="HY신명조" w:hint="eastAsia"/>
          <w:sz w:val="18"/>
          <w:szCs w:val="18"/>
        </w:rPr>
        <w:t xml:space="preserve">로 나뉜다. ETER-Net</w:t>
      </w:r>
      <w:r>
        <w:rPr>
          <w:rFonts w:ascii="HY신명조" w:eastAsia="HY신명조" w:hint="eastAsia"/>
          <w:sz w:val="18"/>
          <w:szCs w:val="18"/>
        </w:rPr>
        <w:t xml:space="preserve">[3]</w:t>
      </w:r>
      <w:r>
        <w:rPr>
          <w:rFonts w:ascii="HY신명조" w:eastAsia="HY신명조" w:hint="eastAsia"/>
          <w:sz w:val="18"/>
          <w:szCs w:val="18"/>
        </w:rPr>
        <w:t xml:space="preserve">은 후자로, 양방향 GRU(bi-GRU)가 k-space를 영상 도메인 특징으로 변환한 뒤 U-Net이 aliasing을 제거한다. 그러나 bi-GRU는 순차 처리라 병렬화가 어렵고 flatten-reshape 구조 탓에 파라미터가 수억 개에 이른다. 상태공간모델 Mamba</w:t>
      </w:r>
      <w:r>
        <w:rPr>
          <w:rFonts w:ascii="HY신명조" w:eastAsia="HY신명조" w:hint="eastAsia"/>
          <w:sz w:val="18"/>
          <w:szCs w:val="18"/>
        </w:rPr>
        <w:t xml:space="preserve">[4]</w:t>
      </w:r>
      <w:r>
        <w:rPr>
          <w:rFonts w:ascii="HY신명조" w:eastAsia="HY신명조" w:hint="eastAsia"/>
          <w:sz w:val="18"/>
          <w:szCs w:val="18"/>
        </w:rPr>
        <w:t xml:space="preserve">는 입력 의존 순환을 병렬 스캔으로 선형 시간에 계산하며, 2차원 확장 SS2D</w:t>
      </w:r>
      <w:r>
        <w:rPr>
          <w:rFonts w:ascii="HY신명조" w:eastAsia="HY신명조" w:hint="eastAsia"/>
          <w:sz w:val="18"/>
          <w:szCs w:val="18"/>
        </w:rPr>
        <w:t xml:space="preserve">[5]</w:t>
      </w:r>
      <w:r>
        <w:rPr>
          <w:rFonts w:ascii="HY신명조" w:eastAsia="HY신명조" w:hint="eastAsia"/>
          <w:sz w:val="18"/>
          <w:szCs w:val="18"/>
        </w:rPr>
        <w:t xml:space="preserve">는 네 방향 스캔으로 전역 수용영역을 얻는다. 기존 Mamba 기반 MRI 재구성</w:t>
      </w:r>
      <w:r>
        <w:rPr>
          <w:rFonts w:ascii="HY신명조" w:eastAsia="HY신명조" w:hint="eastAsia"/>
          <w:sz w:val="18"/>
          <w:szCs w:val="18"/>
        </w:rPr>
        <w:t xml:space="preserve">[6]</w:t>
      </w:r>
      <w:r>
        <w:rPr>
          <w:rFonts w:ascii="HY신명조" w:eastAsia="HY신명조" w:hint="eastAsia"/>
          <w:sz w:val="18"/>
          <w:szCs w:val="18"/>
        </w:rPr>
        <w:t xml:space="preserve">은 새 구조 전체를 제안해, 순환신경망만 SSM으로 바꾼 효과를 분리한 비교는 없다. 본 논문은 ETER-Net에서 도메인 변환 시퀀스 모델만 bi-GRU→SS2D로 치환하고 나머지를 모두 고정한 단일 변수 통제 비교를 보고한다.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Ⅱ. 방법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1은 두 팔이 공유하는 통제 파이프라인이다. 완전 샘플링 16코일 k-space y_c에서 GT(RSS 영상, 384×384 crop/pad)를 만들고, R=4 equispaced 마스크 M(ACS 8%)을 곱한 언더샘플링 k-space ỹ=M⊙y_c를 실수·허수로 분리한 (32, 384, 384) 텐서가 입력이다. 이 입력은 두 갈래로 흐른다. 시퀀스 모델 f_θ가 k-space를 영상 도메인 특징(20채널)으로 직접 변환하고, 같은 ỹ를 코일별 역 FFT한 zero-filled 코일 영상(32채널)과 채널 결합(52채널)해 후처리 U-Net g_φ(dual-frame skip, depth 5, 31.1M)가 magnitude 영상 x̂를 출력한다. 손실은 brain mask 내부의 L1+(1−SSIM)이고 data-consistency 블록과 ViT 인코더</w:t>
      </w:r>
      <w:r>
        <w:rPr>
          <w:rFonts w:ascii="HY신명조" w:eastAsia="HY신명조" w:hint="eastAsia"/>
          <w:sz w:val="18"/>
          <w:szCs w:val="18"/>
        </w:rPr>
        <w:t xml:space="preserve">[7]</w:t>
      </w:r>
      <w:r>
        <w:rPr>
          <w:rFonts w:ascii="HY신명조" w:eastAsia="HY신명조" w:hint="eastAsia"/>
          <w:sz w:val="18"/>
          <w:szCs w:val="18"/>
        </w:rPr>
        <w:t xml:space="preserve">는 두지 않는다. 점선 상자의 f_θ만이 두 팔 사이의 유일한 변수이며 데이터·마스크·손실·최적화·U-Net은 동일하다.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3564890"/>
            <wp:effectExtent l="0" t="0" r="0" b="0"/>
            <wp:docPr id="1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1. 두 팔이 공유하는 ETER-Net 통제 파이프라인. 점선 상자의 시퀀스 모델 f_θ만이 유일한 변수이고 회색 블록은 두 팔에서 동일하다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2는 f_θ 자리에 들어가는 두 팔의 내부다. (a) bi-GRU 팔은 원본 ETER-Net 그대로 k-space를 384개 행의 시퀀스(스텝당 12,288차원)로 펼쳐 양방향 GRU를 통과시킨 뒤, 전치해 열 방향으로 한 번 더 통과시킨다. 두 GRU의 입력–은닉 행렬(방향별 12,288×11,520과 7,680×11,520)이 파라미터의 대부분이라 GRU 스택만 637.1M, 팔 전체 668.2M이며, 재귀는 스텝 순서대로만 계산된다. (b) SS2D 팔은 픽셀별 LN·Linear(32→128)·SiLU와 depthwise conv 뒤에 selective scan(S6)을 네 방향(각 행 →/←, 각 열 ↓/↑, L=384)으로 적용하고 네 출력을 합쳐 Linear와 1×1 conv로 GRU와 같은 20채널에 정합한다. 상태 갱신 h_t=Ā_t h_{t−1}+B̄_t x_t의 (Δ_t, B_t, C_t)는 입력에서 생성되고(d_inner 128, d_state 16), 한 조의 가중치를 모든 행·열이 공유하므로 SSM 스택은 0.12M(팔 전체 31.2M)에 그치며 스캔은 병렬 O(L)로 계산된다.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3702050"/>
            <wp:effectExtent l="0" t="0" r="0" b="0"/>
            <wp:docPr id="1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2. 시퀀스 모델 f_θ의 두 팔. (a) 원본 bi-GRU: 행·열 방향 2단 양방향 GRU(flatten-reshape, 668.2M). (b) SS2D: 4방향 selective scan 단일 블록(SSM 스택 0.12M, 팔 전체 31.2M)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강화 SS2D(그림 3)는 통제를 해제한 변형이다. stem(LN·Linear 32→256·SiLU) 뒤 stride-3 conv로 128² 격자로 내린 다음, Mamba 게이팅을 복원한 잔차 SS2D 블록 3개(LN·Linear 256→512를 x_ssm|z로 분할 → DWConv·SiLU → 4방향 스캔(d_inner 256, d_state 32, fp16) → y·SiLU(z) → Linear·dropout 0.05 → 잔차 합)를 쌓고, bilinear 업샘플·3×3 conv·1×1 conv로 64채널 특징을 낸다. 이후의 결합·U-Net·손실은 그림 1과 같다. coarse scan 덕분에 epoch당 시간은 통제판 수준(2.84 h 대 3.07 h)이고 파라미터는 34.2M(SSM 스택 3.1M)이다.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2943225"/>
            <wp:effectExtent l="0" t="0" r="0" b="0"/>
            <wp:docPr id="1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3. 강화 SS2D 변형(f_θ 자리 교체, 34.2M). 위: stem → stride-3 다운샘플 → 게이팅 잔차 SS2D 블록 3개 → 업샘플·head. 아래: 블록 내부(게이트 y·SiLU(z)와 잔차 합)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Ⅲ. 실험 및 결과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fastMRI brain multicoil</w:t>
      </w:r>
      <w:r>
        <w:rPr>
          <w:rFonts w:ascii="HY신명조" w:eastAsia="HY신명조" w:hint="eastAsia"/>
          <w:sz w:val="18"/>
          <w:szCs w:val="18"/>
        </w:rPr>
        <w:t xml:space="preserve">[8]</w:t>
      </w:r>
      <w:r>
        <w:rPr>
          <w:rFonts w:ascii="HY신명조" w:eastAsia="HY신명조" w:hint="eastAsia"/>
          <w:sz w:val="18"/>
          <w:szCs w:val="18"/>
        </w:rPr>
        <w:t xml:space="preserve"> 확보 서브셋(혼합 contrast)을 공식 구획대로 사용하였다(train 65,028 슬라이스, val 464 볼륨/7,334 슬라이스). GT는 RSS 영상의 384×384 crop/pad, 언더샘플링은 R=4 equispaced Cartesian 마스크(ACS 8%)다. Adam(2×10⁻⁴)·cosine 스케줄·AMP·batch 8·50 epoch(강화판 80)으로 TITAN RTX 1장에서 학습하였다. 지표는 brain mask 내부 SSIM·PSNR·nMSE(%)를 슬라이스 단위로 계산해 fastMRI 관례대로 볼륨 단위 평균±표준편차로 보고하고(표 1, zero-filled 기준선 포함), paired 설계이므로 우위 슬라이스 비율과 볼륨 단위 Wilcoxon 검정으로 유의성을 평가하였다.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표 1에서 SS2D 치환은 21배 적은 파라미터로 세 지표 전부에서 원 설계를 앞섰고, paired 비교에서 슬라이스 74~78%(SSIM 78.2%)·볼륨 90~95%에서 우위였다(모든 지표 p&lt;0.001). 우위는 25회 검증 시점 전부와 5개 contrast 서브그룹 전부(≥68.7%)에서 유지되었다. 정성적으로 bi-GRU만 두개골 바깥에 주기적 ringing을 남겼다. 다만 epoch당 학습시간은 cuDNN GRU가 짧아(2.41 h 대 3.07 h) 효율 이점은 파라미터 수에 있다. 같은 프로토콜로 전체 검증셋을 추론한 공개 모델은 볼륨 SSIM 기준 U-Net† 0.8971, E2E-VarNet† 0.9181, PromptMR+ 0.9417이었다(†: train+val 학습 leaderboard 가중치, 참고선; PromptMR+는 train 구획만 학습한 12-cascade unrolled 모델로 인접 5슬라이스를 입력받아 계열이 다르다). 강화 SS2D는 통제판 대비 세 지표 모두 근소하게 개선되었으나(우위 슬라이스 54~56%), 이 이득은 동일 50 epoch 시점(SSIM 0.9130)이 아닌 80 epoch 연장 구간의 것이다.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표 1. 검증 집합 전체(464 볼륨/7,334 슬라이스, R=4, brain-masked)에 대한 best checkpoint 결과(볼륨 단위 평균±표준편차, 최고값 굵게·차선 밑줄)</w:t>
      </w:r>
    </w:p>
    <w:tbl>
      <w:tblPr>
        <w:tblOverlap w:val="never"/>
        <w:tblW w:w="453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0"/>
        <w:gridCol w:w="520"/>
        <w:gridCol w:w="1070"/>
        <w:gridCol w:w="900"/>
        <w:gridCol w:w="985"/>
      </w:tblGrid>
      <w:tr>
        <w:trPr>
          <w:trHeight w:val="250"/>
          <w:tblHeader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Params (M)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SSIM ↑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PSNR (dB) ↑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nMSE (%) ↓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Zero-filled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–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0.7523±0.0410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24.76±2.11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3.935±2.166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bi-GRU (original)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668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0.9127±0.0366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33.78±1.86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0.448±0.274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SS2D (controlled)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31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0.9141±0.0365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33.91±1.90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0.438±0.283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Enhanced SS2D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34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0.9146±0.0361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33.92±1.90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0.439±0.304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Ⅳ. 결론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ETER-Net의 도메인 변환 자리에서 bi-GRU를 SS2D로 치환하는 것만으로 DC 없이, 21배 적은 파라미터로 표준 지표(SSIM·PSNR·nMSE) 전부와 대다수 슬라이스·볼륨에서 일관된 개선을 얻었다. 이 결론은 "SSM이 RNN보다 우월하다"는 일반론이 아니라 "SS2D 치환이 원 bi-GRU 설계보다 낫다"로 한정되며, 두 팔은 메커니즘과 파라미터화가 함께 달라 그 기여를 분리하지 못한 한계가 있다. 멀티시드 재현, Transformer·pixel-GRU 팔 추가, 가속률 일반화 학습을 진행 중이다.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참고문헌 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[1] </w:t>
      </w:r>
      <w:r>
        <w:rPr>
          <w:rFonts w:ascii="HY신명조" w:eastAsia="HY신명조" w:hint="eastAsia"/>
          <w:sz w:val="18"/>
          <w:szCs w:val="18"/>
        </w:rPr>
        <w:t xml:space="preserve">K. Hammernik et al., "Learning a variational network for reconstruction of accelerated MRI data," </w:t>
      </w:r>
      <w:r>
        <w:rPr>
          <w:rFonts w:ascii="HY신명조" w:eastAsia="HY신명조" w:hint="eastAsia"/>
          <w:i/>
          <w:sz w:val="18"/>
          <w:szCs w:val="18"/>
        </w:rPr>
        <w:t xml:space="preserve">Magnetic Resonance in Medicine</w:t>
      </w:r>
      <w:r>
        <w:rPr>
          <w:rFonts w:ascii="HY신명조" w:eastAsia="HY신명조" w:hint="eastAsia"/>
          <w:sz w:val="18"/>
          <w:szCs w:val="18"/>
        </w:rPr>
        <w:t xml:space="preserve">, Vol. 79, no. 6, pp. 3055-3071,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[2] </w:t>
      </w:r>
      <w:r>
        <w:rPr>
          <w:rFonts w:ascii="HY신명조" w:eastAsia="HY신명조" w:hint="eastAsia"/>
          <w:sz w:val="18"/>
          <w:szCs w:val="18"/>
        </w:rPr>
        <w:t xml:space="preserve">B. Zhu, J. Z. Liu, S. F. Cauley, B. R. Rosen, and M. S. Rosen, "Image reconstruction by domain-transform manifold learning," </w:t>
      </w:r>
      <w:r>
        <w:rPr>
          <w:rFonts w:ascii="HY신명조" w:eastAsia="HY신명조" w:hint="eastAsia"/>
          <w:i/>
          <w:sz w:val="18"/>
          <w:szCs w:val="18"/>
        </w:rPr>
        <w:t xml:space="preserve">Nature</w:t>
      </w:r>
      <w:r>
        <w:rPr>
          <w:rFonts w:ascii="HY신명조" w:eastAsia="HY신명조" w:hint="eastAsia"/>
          <w:sz w:val="18"/>
          <w:szCs w:val="18"/>
        </w:rPr>
        <w:t xml:space="preserve">, Vol. 555, pp. 487-492,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[3] </w:t>
      </w:r>
      <w:r>
        <w:rPr>
          <w:rFonts w:ascii="HY신명조" w:eastAsia="HY신명조" w:hint="eastAsia"/>
          <w:sz w:val="18"/>
          <w:szCs w:val="18"/>
        </w:rPr>
        <w:t xml:space="preserve">C. Oh, D. Kim, J.-Y. Chung, Y. Han, and H. Park, "A k-space-to-image reconstruction network for MRI using recurrent neural network," </w:t>
      </w:r>
      <w:r>
        <w:rPr>
          <w:rFonts w:ascii="HY신명조" w:eastAsia="HY신명조" w:hint="eastAsia"/>
          <w:i/>
          <w:sz w:val="18"/>
          <w:szCs w:val="18"/>
        </w:rPr>
        <w:t xml:space="preserve">Medical Physics</w:t>
      </w:r>
      <w:r>
        <w:rPr>
          <w:rFonts w:ascii="HY신명조" w:eastAsia="HY신명조" w:hint="eastAsia"/>
          <w:sz w:val="18"/>
          <w:szCs w:val="18"/>
        </w:rPr>
        <w:t xml:space="preserve">, Vol. 48, no. 1, pp. 193-203, 2021.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[4] </w:t>
      </w:r>
      <w:r>
        <w:rPr>
          <w:rFonts w:ascii="HY신명조" w:eastAsia="HY신명조" w:hint="eastAsia"/>
          <w:sz w:val="18"/>
          <w:szCs w:val="18"/>
        </w:rPr>
        <w:t xml:space="preserve">A. Gu and T. Dao, "Mamba: Linear-Time Sequence Modeling with Selective State Spaces," </w:t>
      </w:r>
      <w:r>
        <w:rPr>
          <w:rFonts w:ascii="HY신명조" w:eastAsia="HY신명조" w:hint="eastAsia"/>
          <w:sz w:val="18"/>
          <w:szCs w:val="18"/>
        </w:rPr>
        <w:t xml:space="preserve">arXiv preprint arXiv:2312.00752</w:t>
      </w:r>
      <w:r>
        <w:rPr>
          <w:rFonts w:ascii="HY신명조" w:eastAsia="HY신명조" w:hint="eastAsia"/>
          <w:sz w:val="18"/>
          <w:szCs w:val="18"/>
        </w:rPr>
        <w:t xml:space="preserve">, 2023.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[5] </w:t>
      </w:r>
      <w:r>
        <w:rPr>
          <w:rFonts w:ascii="HY신명조" w:eastAsia="HY신명조" w:hint="eastAsia"/>
          <w:sz w:val="18"/>
          <w:szCs w:val="18"/>
        </w:rPr>
        <w:t xml:space="preserve">Y. Liu et al., "VMamba: Visual State Space Model,"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Advances in Neural Information Processing Systems (NeurIPS)</w:t>
      </w:r>
      <w:r>
        <w:rPr>
          <w:rFonts w:ascii="HY신명조" w:eastAsia="HY신명조" w:hint="eastAsia"/>
          <w:sz w:val="18"/>
          <w:szCs w:val="18"/>
        </w:rPr>
        <w:t xml:space="preserve">, 2024.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[6] </w:t>
      </w:r>
      <w:r>
        <w:rPr>
          <w:rFonts w:ascii="HY신명조" w:eastAsia="HY신명조" w:hint="eastAsia"/>
          <w:sz w:val="18"/>
          <w:szCs w:val="18"/>
        </w:rPr>
        <w:t xml:space="preserve">Y. Korkmaz and V. M. Patel, "MambaRecon: MRI Reconstruction with Structured State Space Models,"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IEEE/CVF Winter Conference on Applications of Computer Vision (WACV)</w:t>
      </w:r>
      <w:r>
        <w:rPr>
          <w:rFonts w:ascii="HY신명조" w:eastAsia="HY신명조" w:hint="eastAsia"/>
          <w:sz w:val="18"/>
          <w:szCs w:val="18"/>
        </w:rPr>
        <w:t xml:space="preserve">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[7] </w:t>
      </w:r>
      <w:r>
        <w:rPr>
          <w:rFonts w:ascii="HY신명조" w:eastAsia="HY신명조" w:hint="eastAsia"/>
          <w:sz w:val="18"/>
          <w:szCs w:val="18"/>
        </w:rPr>
        <w:t xml:space="preserve">C. Oh, "A Hybrid Vision Transformer-BiRNN Architecture for Direct k-Space to Image Reconstruction in Accelerated MRI," </w:t>
      </w:r>
      <w:r>
        <w:rPr>
          <w:rFonts w:ascii="HY신명조" w:eastAsia="HY신명조" w:hint="eastAsia"/>
          <w:i/>
          <w:sz w:val="18"/>
          <w:szCs w:val="18"/>
        </w:rPr>
        <w:t xml:space="preserve">Journal of Imaging</w:t>
      </w:r>
      <w:r>
        <w:rPr>
          <w:rFonts w:ascii="HY신명조" w:eastAsia="HY신명조" w:hint="eastAsia"/>
          <w:sz w:val="18"/>
          <w:szCs w:val="18"/>
        </w:rPr>
        <w:t xml:space="preserve">, Vol. 12, no. 1, Art. no. 11,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[8] </w:t>
      </w:r>
      <w:r>
        <w:rPr>
          <w:rFonts w:ascii="HY신명조" w:eastAsia="HY신명조" w:hint="eastAsia"/>
          <w:sz w:val="18"/>
          <w:szCs w:val="18"/>
        </w:rPr>
        <w:t xml:space="preserve">J. Zbontar, F. Knoll, A. Sriram et al., "fastMRI: An Open Dataset and Benchmarks for Accelerated MRI," </w:t>
      </w:r>
      <w:r>
        <w:rPr>
          <w:rFonts w:ascii="HY신명조" w:eastAsia="HY신명조" w:hint="eastAsia"/>
          <w:sz w:val="18"/>
          <w:szCs w:val="18"/>
        </w:rPr>
        <w:t xml:space="preserve">arXiv preprint arXiv:1811.08839</w:t>
      </w:r>
      <w:r>
        <w:rPr>
          <w:rFonts w:ascii="HY신명조" w:eastAsia="HY신명조" w:hint="eastAsia"/>
          <w:sz w:val="18"/>
          <w:szCs w:val="18"/>
        </w:rPr>
        <w:t xml:space="preserve">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  <w:sz w:val="18"/>
        </w:rPr>
      </w:pPr>
    </w:p>
    <w:sectPr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BC801" w14:textId="77777777" w:rsidR="00CB3317" w:rsidRDefault="00CB3317" w:rsidP="0082623A">
      <w:pPr>
        <w:spacing w:after="0" w:line="240" w:lineRule="auto"/>
      </w:pPr>
      <w:r>
        <w:separator/>
      </w:r>
    </w:p>
  </w:endnote>
  <w:endnote w:type="continuationSeparator" w:id="0">
    <w:p w14:paraId="6877FBE6" w14:textId="77777777" w:rsidR="00CB3317" w:rsidRDefault="00CB3317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BE8C" w14:textId="77777777" w:rsidR="00CB3317" w:rsidRDefault="00CB3317" w:rsidP="0082623A">
      <w:pPr>
        <w:spacing w:after="0" w:line="240" w:lineRule="auto"/>
      </w:pPr>
      <w:r>
        <w:separator/>
      </w:r>
    </w:p>
  </w:footnote>
  <w:footnote w:type="continuationSeparator" w:id="0">
    <w:p w14:paraId="349E2037" w14:textId="77777777" w:rsidR="00CB3317" w:rsidRDefault="00CB3317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70BC6"/>
    <w:rsid w:val="001428A5"/>
    <w:rsid w:val="00204A04"/>
    <w:rsid w:val="00272714"/>
    <w:rsid w:val="005A120E"/>
    <w:rsid w:val="005E19DD"/>
    <w:rsid w:val="007019A0"/>
    <w:rsid w:val="0082623A"/>
    <w:rsid w:val="008D3361"/>
    <w:rsid w:val="00A30AC4"/>
    <w:rsid w:val="00AC07B2"/>
    <w:rsid w:val="00CB3317"/>
    <w:rsid w:val="00E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1EE3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20" Type="http://schemas.openxmlformats.org/officeDocument/2006/relationships/image" Target="media/fig1.png"/><Relationship Id="rId21" Type="http://schemas.openxmlformats.org/officeDocument/2006/relationships/image" Target="media/fig2.png"/><Relationship Id="rId22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ETER-Net MRI 재구성에서 순환신경망을 선택적 상태공간모델로 치환한 단일 변수 통제 비교</dc:title>
  <dc:creator/>
  <cp:lastModifiedBy/>
  <cp:revision>5</cp:revision>
  <dcterms:created xsi:type="dcterms:W3CDTF">2019-05-10T02:21:00Z</dcterms:created>
  <dcterms:modified xsi:type="dcterms:W3CDTF">2023-09-04T07:35:00Z</dcterms:modified>
  <cp:version>0501.0001.01</cp:version>
</cp:coreProperties>
</file>