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순차 처리라 병렬화가 어렵고 flatten-reshape 구조 탓에 파라미터가 수억 개에 이른다.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기존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제안해, 순환신경망만 SSM으로 바꾼 효과를 분리한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팔의 공유 골격이다. 16코일 k-space를 실수·허수로 분리한 (32, 384, 384) 입력을 시퀀스 모델 f_θ가 영상 도메인 특징(20채널)으로 변환하고, zero-filled 코일 영상과 채널 결합해 후처리 U-Net(depth 5, 31.1M)이 magnitude 영상을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bi-GRU 팔은 원본의 수평·수직 양방향 GRU(총 668.2M)이며, SS2D 팔은 4방향 selective scan 단일 블록(d_inner 128, d_state 16)으로 출력 채널을 GRU와 같은 20으로 정합해 용량을 GRU 이하로 억제하였다(SSM 스택 0.12M, 총 31.2M). f_θ 외의 데이터·마스크·손실·최적화·U-Net은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447290" cy="160528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729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골격(a)과 강화 SS2D 변형(b). 시퀀스 모델 f_θ만이 유일한 변수다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SS2D는 통제를 해제한 변형으로 Mamba 게이팅 y·SiLU(z), 3블록 잔차 스택, 병목 해제(출력 64채널, d_inner 256, d_state 32)를 적용하고, fp16 coarse scan(3배 다운샘플)으로 epoch당 시간을 통제판 수준으로 유지하였다(약 33M).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구획대로 사용하였다(train 65,028 슬라이스, val 464 볼륨/7,334 슬라이스). GT는 RSS 영상의 384×384 crop/pad, 언더샘플링은 R=4 equispaced Cartesian 마스크(ACS 8%)다. Adam(2×10⁻⁴)·cosine 스케줄·AMP·batch 8·50 epoch(강화판 80)으로 TITAN RTX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1에서 SS2D 치환은 21배 적은 파라미터로 세 지표 전부에서 원 설계를 앞섰고, paired 비교에서 슬라이스 74~78%(SSIM 78.2%)·볼륨 90~95%에서 우위였다(모든 지표 p&lt;0.001). 우위는 25회 검증 시점 전부와 5개 contrast 서브그룹 전부(≥68.7%)에서 유지되었다. 정성적으로 bi-GRU만 두개골 바깥에 주기적 ringing을 남겼다. 다만 epoch당 학습시간은 cuDNN GRU가 짧아(2.41 h 대 3.07 h) 효율 이점은 파라미터 수에 있다. 같은 프로토콜로 전체 검증셋을 추론한 공개 모델은 볼륨 SSIM 기준 U-Net† 0.8971, E2E-VarNet† 0.9181, PromptMR+ </w:t>
      </w:r>
      <w:r>
        <w:rPr>
          <w:rFonts w:ascii="HY신명조" w:eastAsia="HY신명조" w:hint="eastAsia"/>
          <w:sz w:val="18"/>
          <w:szCs w:val="18"/>
          <w:highlight w:val="yellow"/>
        </w:rPr>
        <w:t xml:space="preserve">[TBD]</w:t>
      </w:r>
      <w:r>
        <w:rPr>
          <w:rFonts w:ascii="HY신명조" w:eastAsia="HY신명조" w:hint="eastAsia"/>
          <w:sz w:val="18"/>
          <w:szCs w:val="18"/>
        </w:rPr>
        <w:t xml:space="preserve">였다(†: train+val 학습 leaderboard 가중치, 참고선). 강화 SS2D는 통제판 대비 세 지표 모두 근소하게 개선되었으나(우위 슬라이스 54~56%), 이 이득은 동일 50 epoch 시점(SSIM 0.9130)이 아닌 80 epoch 연장 구간의 것이다.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