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함수이고,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8절) 실험 기간 내에 epoch 50→80 연장이 가능했다. 총 파라미터는 약 33M(SSM 스택 약 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fastMRI leaderboard U-Net/E2E-VarNet checkpoints are not listed because they were trained on the train+val split and evaluated under a different protocol (see text).</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contrast가 다른 검증 슬라이스 세 장(AXT2·AXT1POST·AXFLAIR)에 대해 본 연구의 세 모델과 공개 참조 모델을 한 파이프라인에서 나란히 비교한 것이다. 열은 GT, zero-filled, fastMRI 공개 leaderboard 가중치의 U-Net†과 E2E-VarNet†</w:t>
      </w:r>
      <w:r>
        <w:rPr>
          <w:vertAlign w:val="superscript"/>
        </w:rPr>
        <w:t xml:space="preserve">[15]</w:t>
      </w:r>
      <w:r>
        <w:t xml:space="preserve">, 공개 최전선 모델 PromptMR+(train 구획만으로 학습된 공개 가중치, 12-cascade unrolled + 학습형 코일 감도 + DC, 인접 5슬라이스 입력, 92.9M), 원 bi-GRU, 통제 SS2D, 강화 SS2D이고, 슬라이스마다 재구성과 brain mask 내부 절대오차 맵(공통 0–0.10 스케일)을 두 행으로, 마지막 행에는 배경을 드러내기 위해 표시 이득을 4배로 올린 AXT2 슬라이스를 두었다. 모든 방법이 동일한 384² 재-FFT·16코일·R=4 마스크·GT를 받으며, 공개 모델의 출력 스케일이 제각각이므로 표시와 패널 수치 계산 전에 brain mask 내부 슬라이스별 최소제곱 강도 정합을 모든 방법에 똑같이 적용하였다(표 2의 수치는 정합 없이 계산한 것이라 패널 값과 직접 비교하지 않는다). 추론은 CPU fp32로 수행했으며(GPU가 진행 중인 실험에 점유되어 있음), 본 연구 세 모델의 패널 값은 GPU fp16 평가 CSV와 정본 12 슬라이스에서 SSIM 0.003·PSNR 0.3 dB 이내로 일치한다(그림의 AXT2 슬라이스는 소수 넷째 자리까지 동일).</w:t>
      </w:r>
    </w:p>
    <w:p>
      <w:pPr>
        <w:pStyle w:val="a4"/>
      </w:pPr>
      <w:r>
        <w:t xml:space="preserve">세 가지가 읽힌다. 첫째, 통제 SS2D는 세 슬라이스 모두에서 원 bi-GRU보다 PSNR·SSIM이 높고(정본 12 슬라이스에서는 두 지표 각각 11장), 오차 맵의 구조는 두 팔이 비슷하다. 마지막 행에서 bi-GRU 재구성은 두개골 바깥 배경에 수평 방향의 주기적 ringing(줄무늬)을 보이는 반면, SS2D와 강화 SS2D에는 주기적 줄무늬가 없고 저강도의 비주기적 잔여 aliasing 신호(머리 윤곽의 희미한 ghost)만 남는다. 이 차이는 brain mask 밖이라 정량 지표에는 반영되지 않는 정성적 차이로(Ⅲ장 4절의 brain mask 정의 참조), GRU 재구성이 관심영역 밖에서 덜 안정적임을 시사한다. 둘째, 공개 모델은 좌표를 제공한다: PromptMR+는 세 슬라이스에서 39~41 dB·SSIM 0.97~0.98로 나머지 전부를 크게 앞선다(정본 12장 중 SSIM 12장·PSNR 11장에서 최상위). 이는 물리 모델(감도·DC)을 12회 반복하고 인접 5슬라이스의 측정을 함께 입력받는 다른 계열의 결과이며, 본 논문의 직접 도메인 변환 골격은 단일 슬라이스·무DC라는 점에서 입력 정보량과 구조가 다르다 — 그림은 경쟁이 아니라 품질 좌표계 위의 위치를 보이기 위한 것이다. 셋째, train+val로 학습된 leaderboard 가중치(†)는 본 검증셋이 학습 데이터에 포함됨에도 본 프로토콜(384² 재-FFT·16코일)에서는 우세하지 않았다: U-Net†은 정본 12장 전부에서 SS2D보다 낮았고, E2E-VarNet†은 SSIM에서는 12장 중 9장에서 SS2D를 앞섰으나 PSNR에서는 6장에 그쳤으며, 마지막 행에서 보듯 두개골 바깥에 강한 세로 띠 아티팩트를 남겼다(프로토콜 불일치에 따른 domain shift로 해석되며, 이들 역시 참고선일 뿐 순위에 넣지 않는다). 공개 모델의 전체 검증셋 수치는 별도 추론 런으로 확보할 예정이다(Ⅳ장 9절).</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525145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6119495" cy="5251450"/>
                          </a:xfrm>
                          <a:prstGeom prst="rect">
                            <a:avLst/>
                          </a:prstGeom>
                        </pic:spPr>
                      </pic:pic>
                    </a:graphicData>
                  </a:graphic>
                </wp:inline>
              </w:drawing>
            </w:r>
          </w:p>
          <w:p>
            <w:pPr>
              <w:pStyle w:val="a8"/>
            </w:pPr>
            <w:r>
              <w:t xml:space="preserve">그림</w:t>
            </w:r>
            <w:r>
              <w:tab/>
            </w:r>
            <w:r>
              <w:t xml:space="preserve">3.</w:t>
            </w:r>
            <w:r>
              <w:tab/>
            </w:r>
            <w:r>
              <w:t xml:space="preserve">다중 모델 정성 비교(검증 슬라이스 3장, 384², R=4). (a) GT, (b) zero-filled, (c) U-Net†, (d) E2E-VarNet†, (e) PromptMR+, (f) 원 bi-GRU, (g) 통제 SS2D, (h) 강화 SS2D. 슬라이스마다 위 행은 재구성(패널 값 = brain-masked PSNR/SSIM, 슬라이스별 최소제곱 강도 정합 후), 아래 행은 brain mask 내부 절대오차(GT 최댓값으로 정규화, 공통 0–0.10 스케일). 마지막 행은 배경을 드러내기 위해 표시 이득을 4배로 올린 AXT2 슬라이스 — bi-GRU의 수평 주기적 ringing과 E2E-VarNet†의 세로 띠 아티팩트가 두개골 바깥에 나타난다. †: fastMRI leaderboard 공개 가중치(train+val 학습, 참고선). PromptMR+: train 구획만으로 학습된 공개 가중치, 인접 5슬라이스 입력. 모든 방법 동일 파이프라인·CPU fp32 추론</w:t>
            </w:r>
          </w:p>
          <w:p>
            <w:pPr>
              <w:pStyle w:val="a8"/>
            </w:pPr>
            <w:r>
              <w:t xml:space="preserve">Fig.</w:t>
            </w:r>
            <w:r>
              <w:tab/>
            </w:r>
            <w:r>
              <w:t xml:space="preserve">3.</w:t>
            </w:r>
            <w:r>
              <w:tab/>
            </w:r>
            <w:r>
              <w:t xml:space="preserve">Multi-model qualitative comparison (three validation slices, 384², R = 4). (a) GT, (b) zero-filled, (c) U-Net†, (d) E2E-VarNet†, (e) PromptMR+, (f) original bi-GRU, (g) controlled SS2D, (h) enhanced SS2D. For each slice, the top row shows the reconstruction (panel values: brain-masked PSNR/SSIM after per-slice least-squares intensity alignment) and the bottom row the absolute error inside the brain mask (normalised by the GT maximum, shared 0–0.10 scale). The last row shows the AXT2 slice with a ×4 display gain to reveal the background — the periodic horizontal ringing of the bi-GRU and the vertical band artifacts of E2E-VarNet† appear outside the skull. †: public fastMRI leaderboard weights (trained on train+val; reference only). PromptMR+: public weights trained on the train split only, with five adjacent slices as input. All methods share the same pipeline; CPU fp32 inference</w:t>
            </w:r>
          </w:p>
        </w:tc>
      </w:tr>
    </w:tbl>
    <w:p>
      <w:pPr>
        <w:pStyle w:val="a3"/>
        <w:spacing w:before="0" w:after="0" w:line="20" w:lineRule="exact"/>
        <w:ind w:firstLine="0"/>
      </w:pPr>
    </w:p>
    <w:p>
      <w:pPr>
        <w:pStyle w:val="a6"/>
      </w:pPr>
      <w:r>
        <w:t xml:space="preserve">6.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best 도달까지의 wall-clock도 강화판이 더 길다(약 187시간 대 통제판 약 147시간; Ⅳ장 8절).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7. </w:t>
      </w:r>
      <w:r>
        <w:t xml:space="preserve">Contrast 서브그룹 분석</w:t>
      </w:r>
    </w:p>
    <w:p>
      <w:pPr>
        <w:pStyle w:val="a4"/>
      </w:pPr>
      <w:r>
        <w:t xml:space="preserve">혼합 contrast 학습의 서브그룹 어디에서도 결론이 뒤집히지 않는지 확인하기 위해 contrast별 SSIM과 우위 슬라이스 비율을 표 4에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4.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8. </w:t>
      </w:r>
      <w:r>
        <w:t xml:space="preserve">효율</w:t>
      </w:r>
    </w:p>
    <w:p>
      <w:pPr>
        <w:pStyle w:val="a4"/>
      </w:pPr>
      <w:r>
        <w:t xml:space="preserve">파라미터 수와 학습 시간을 표 5에 정리했다. 파라미터 수는 bi-GRU 668M, 통제판 SS2D 31M, 강화 SS2D 약 33M이다. epoch당 학습시간(5-epoch 체크포인트 저장 간격의 중앙값, 검증 포함 wall-clock, 재시작으로 인한 outlier 구간 제외)은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5.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9. </w:t>
      </w:r>
      <w:r>
        <w:t xml:space="preserve">진행 중인 보강 실험 </w:t>
      </w:r>
      <w:r>
        <w:rPr>
          <w:highlight w:val="yellow"/>
        </w:rPr>
        <w:t xml:space="preserve">[TBD]</w:t>
      </w:r>
    </w:p>
    <w:p>
      <w:pPr>
        <w:pStyle w:val="a4"/>
      </w:pPr>
      <w:r>
        <w:t xml:space="preserve">본 초안 작성 시점(2026-09-03)에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fastMRI 사전학습 U-Net·E2E-VarNet</w:t>
      </w:r>
      <w:r>
        <w:rPr>
          <w:vertAlign w:val="superscript"/>
        </w:rPr>
        <w:t xml:space="preserve">[15]</w:t>
      </w:r>
      <w:r>
        <w:t xml:space="preserve">과 train 구획만으로 학습된 공개 최전선 모델 PromptMR+의 전체 검증셋 추론 기준선 — 단, leaderboard 가중치는 train과 val 구획을 합쳐 학습되어 본 검증셋이 학습 데이터에 포함되므로 절대 우열이 아닌 참고선으로만 제시한다(정본 12 슬라이스에 대한 CPU 추론 결과는 그림 3에 수록) </w:t>
      </w:r>
      <w:r>
        <w:rPr>
          <w:highlight w:val="yellow"/>
        </w:rPr>
        <w:t xml:space="preserve">[TBD: 전체 검증셋]</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[49]</w:t>
      </w:r>
      <w:r>
        <w:t xml:space="preserve">과 정확도–안정성 트레이드오프</w:t>
      </w:r>
      <w:r>
        <w:rPr>
          <w:vertAlign w:val="superscript"/>
        </w:rPr>
        <w:t xml:space="preserve">[50]</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[51]</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9절).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[50]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[51]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