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함수이고,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8절) 실험 기간 내에 epoch 50→80 연장이 가능했다. 총 파라미터는 약 33M(SSM 스택 약 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fastMRI leaderboard U-Net/E2E-VarNet checkpoints are not listed because they were trained on the train+val split and evaluated under a different protocol (see text).</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검증 슬라이스 하나에 대한 GT·bi-GRU·SS2D 재구성과, 배경을 드러내기 위해 표시 이득을 4배로 올린 영상, 그리고 brain mask 내부 절대오차 맵이다. bi-GRU 재구성은 두개골 바깥 배경에 수평 방향의 주기적 ringing(줄무늬) 아티팩트를 보이며, 오차 맵에서도 희미한 수평 띠 구조가 관찰된다. SS2D 재구성에는 이러한 주기적 줄무늬가 없고, 저강도의 비주기적 잔여 배경 신호만 남아 있다. 이 차이는 brain mask 밖이라 정량 지표에는 반영되지 않는 정성적 차이로(Ⅲ장 4절의 보수적 마스킹 논점 참조), GRU 재구성이 관심영역 밖에서 덜 안정적임을 시사한다. 검토한 시각화 슬라이스에서 일관되게 관찰되었으나, 마스크 외부 잔차의 정량화와 검토 슬라이스 수의 명시는 보완 예정이다.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4772660" cy="4639945"/>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4772660" cy="4639945"/>
                          </a:xfrm>
                          <a:prstGeom prst="rect">
                            <a:avLst/>
                          </a:prstGeom>
                        </pic:spPr>
                      </pic:pic>
                    </a:graphicData>
                  </a:graphic>
                </wp:inline>
              </w:drawing>
            </w:r>
          </w:p>
          <w:p>
            <w:pPr>
              <w:pStyle w:val="a8"/>
            </w:pPr>
            <w:r>
              <w:t xml:space="preserve">그림</w:t>
            </w:r>
            <w:r>
              <w:tab/>
            </w:r>
            <w:r>
              <w:t xml:space="preserve">3.</w:t>
            </w:r>
            <w:r>
              <w:tab/>
            </w:r>
            <w:r>
              <w:t xml:space="preserve">정성 비교(검증 슬라이스 예시). 위: 재구성(RSS magnitude), 가운데: 배경을 드러내기 위한 4배 표시 이득, 아래: brain mask 내부 절대오차 맵. bi-GRU는 두개골 바깥에 수평 방향의 주기적 ringing을 보이는 반면 SS2D에는 주기적 줄무늬가 없다(저강도 잔여 배경 신호는 남아 있음)</w:t>
            </w:r>
          </w:p>
          <w:p>
            <w:pPr>
              <w:pStyle w:val="a8"/>
            </w:pPr>
            <w:r>
              <w:t xml:space="preserve">Fig.</w:t>
            </w:r>
            <w:r>
              <w:tab/>
            </w:r>
            <w:r>
              <w:t xml:space="preserve">3.</w:t>
            </w:r>
            <w:r>
              <w:tab/>
            </w:r>
            <w:r>
              <w:t xml:space="preserve">Qualitative comparison (an example validation slice). Top: reconstructions (RSS magnitude); middle: ×4 display gain to reveal the background; bottom: masked absolute-error maps. The bi-GRU shows periodic horizontal ringing outside the skull, whereas SS2D shows no periodic stripes (a low-level residual background remains)</w:t>
            </w:r>
          </w:p>
        </w:tc>
      </w:tr>
    </w:tbl>
    <w:p>
      <w:pPr>
        <w:pStyle w:val="a3"/>
        <w:spacing w:before="0" w:after="0" w:line="20" w:lineRule="exact"/>
        <w:ind w:firstLine="0"/>
      </w:pPr>
    </w:p>
    <w:p>
      <w:pPr>
        <w:pStyle w:val="a6"/>
      </w:pPr>
      <w:r>
        <w:t xml:space="preserve">6.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best 도달까지의 wall-clock도 강화판이 더 길다(약 187시간 대 통제판 약 147시간; Ⅳ장 8절).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7. </w:t>
      </w:r>
      <w:r>
        <w:t xml:space="preserve">Contrast 서브그룹 분석</w:t>
      </w:r>
    </w:p>
    <w:p>
      <w:pPr>
        <w:pStyle w:val="a4"/>
      </w:pPr>
      <w:r>
        <w:t xml:space="preserve">혼합 contrast 학습의 서브그룹 어디에서도 결론이 뒤집히지 않는지 확인하기 위해 contrast별 SSIM과 우위 슬라이스 비율을 표 4에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4.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8. </w:t>
      </w:r>
      <w:r>
        <w:t xml:space="preserve">효율</w:t>
      </w:r>
    </w:p>
    <w:p>
      <w:pPr>
        <w:pStyle w:val="a4"/>
      </w:pPr>
      <w:r>
        <w:t xml:space="preserve">파라미터 수와 학습 시간을 표 5에 정리했다. 파라미터 수는 bi-GRU 668M, 통제판 SS2D 31M, 강화 SS2D 약 33M이다. epoch당 학습시간(5-epoch 체크포인트 저장 간격의 중앙값, 검증 포함 wall-clock, 재시작으로 인한 outlier 구간 제외)은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5.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9. </w:t>
      </w:r>
      <w:r>
        <w:t xml:space="preserve">진행 중인 보강 실험 </w:t>
      </w:r>
      <w:r>
        <w:rPr>
          <w:highlight w:val="yellow"/>
        </w:rPr>
        <w:t xml:space="preserve">[TBD]</w:t>
      </w:r>
    </w:p>
    <w:p>
      <w:pPr>
        <w:pStyle w:val="a4"/>
      </w:pPr>
      <w:r>
        <w:t xml:space="preserve">본 초안 작성 시점(2026-09-03)에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fastMRI 사전학습 U-Net·E2E-VarNet</w:t>
      </w:r>
      <w:r>
        <w:rPr>
          <w:vertAlign w:val="superscript"/>
        </w:rPr>
        <w:t xml:space="preserve">[15]</w:t>
      </w:r>
      <w:r>
        <w:t xml:space="preserve">의 추론 기준선 — 단, 공개 leaderboard 가중치는 train과 val 구획을 합쳐 학습되어 본 검증셋이 학습 데이터에 포함되므로 절대 우열이 아닌 참고선으로만 제시한다 </w:t>
      </w:r>
      <w:r>
        <w:rPr>
          <w:highlight w:val="yellow"/>
        </w:rPr>
        <w:t xml:space="preserve">[TBD]</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[49]</w:t>
      </w:r>
      <w:r>
        <w:t xml:space="preserve">과 정확도–안정성 트레이드오프</w:t>
      </w:r>
      <w:r>
        <w:rPr>
          <w:vertAlign w:val="superscript"/>
        </w:rPr>
        <w:t xml:space="preserve">[50]</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[51]</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9절).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[50]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[51]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