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 +</w:t>
      </w:r>
      <w:r>
        <w:t xml:space="preserve"> </w:t>
      </w:r>
      <w:r>
        <w:rPr>
          <w:b/>
          <w:bCs/>
        </w:rPr>
        <w:t xml:space="preserve">radapt 3막(2026-09-02 편입 결정 — R-sweep 검증 후 최종, 부록 B-3)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axial 3번째 팔(09-02 결정·구현 완료 — 학습 대기,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docs/axial_transformer_arm_design.md</w:t>
      </w:r>
      <w:r>
        <w:rPr>
          <w:b/>
          <w:bCs/>
        </w:rPr>
        <w:t xml:space="preserve">)</w:t>
      </w:r>
      <w:r>
        <w:t xml:space="preserve">. radapt 는 ep56+/80 진행 중(ETA ~09-04).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 + 09-01 계보 2건 추가([50][51] Crossref 확정)(잔여 ✎: [34] TMI 권호 배정 대기만 — [33] 은 09-01 확정).</w:t>
      </w:r>
      <w:r>
        <w:t xml:space="preserve"> </w:t>
      </w:r>
      <w:r>
        <w:rPr>
          <w:b/>
          <w:bCs/>
        </w:rPr>
        <w:t xml:space="preserve">외부 검토 반영 현황은 부록 D.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 DOTA-MRI [50]는 x-방향 1D IFT 를 해석적으로</w:t>
      </w:r>
      <w:r>
        <w:t xml:space="preserve"> </w:t>
      </w:r>
      <w:r>
        <w:t xml:space="preserve">선행해 그 파라미터 벽을 낮췄으며, 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[1,2,51,3]의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DOTA-MRI [50]는 주파수-인코딩 방향 1D IFT 를 해석적으로</w:t>
      </w:r>
      <w:r>
        <w:t xml:space="preserve"> </w:t>
      </w:r>
      <w:r>
        <w:t xml:space="preserve">선행하고 phase-encoding 방향 1D 전역 변환만 학습해 이 벽을 O(N²)→O(N)으로 낮췄다.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 folded image 를 보조 입력으로 더해</w:t>
      </w:r>
      <w:r>
        <w:t xml:space="preserve"> </w:t>
      </w:r>
      <w:r>
        <w:t xml:space="preserve">랜덤·불규칙 궤적과 R∈{4,8}에서 안정성을 높인 dual-input ETER-net [51]으로 이어졌으며,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[1,51,3]의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 DOTA-MRI [50],</w:t>
            </w:r>
            <w:r>
              <w:t xml:space="preserve"> </w:t>
            </w:r>
            <w:r>
              <w:rPr>
                <w:b/>
                <w:bCs/>
              </w:rPr>
              <w:t xml:space="preserve">ETER-Net 계열 [1,2,51,3]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두 가지 프로토콜로 추론 평가해</w:t>
      </w:r>
      <w:r>
        <w:t xml:space="preserve"> </w:t>
      </w:r>
      <w:r>
        <w:t xml:space="preserve">참고 기준선으로 제시한다. (i)</w:t>
      </w:r>
      <w:r>
        <w:t xml:space="preserve"> </w:t>
      </w:r>
      <w:r>
        <w:rPr>
          <w:b/>
          <w:bCs/>
        </w:rPr>
        <w:t xml:space="preserve">동일 파이프라인</w:t>
      </w:r>
      <w:r>
        <w:t xml:space="preserve"> </w:t>
      </w:r>
      <w:r>
        <w:t xml:space="preserve">— 우리 모델과 완전히 같은 측정값(같은 슬라이스·</w:t>
      </w:r>
      <w:r>
        <w:t xml:space="preserve"> </w:t>
      </w:r>
      <w:r>
        <w:t xml:space="preserve">R4 마스크·16코일·384² 재-FFT·GT·brain mask)을 입력한다. (ii)</w:t>
      </w:r>
      <w:r>
        <w:t xml:space="preserve"> </w:t>
      </w:r>
      <w:r>
        <w:rPr>
          <w:b/>
          <w:bCs/>
        </w:rPr>
        <w:t xml:space="preserve">네이티브 프로토콜</w:t>
      </w:r>
      <w:r>
        <w:t xml:space="preserve"> </w:t>
      </w:r>
      <w:r>
        <w:t xml:space="preserve">— fastMRI 공식</w:t>
      </w:r>
      <w:r>
        <w:t xml:space="preserve"> </w:t>
      </w:r>
      <w:r>
        <w:t xml:space="preserve">추론 규약[19]을 그대로 따라 전체 코일·native 해상도 k-space 를 쓰고 ismrmrd 헤더의 reconSpace</w:t>
      </w:r>
      <w:r>
        <w:t xml:space="preserve"> </w:t>
      </w:r>
      <w:r>
        <w:t xml:space="preserve">크기로 중앙 crop 한다(취득 구간 밖 마스크 0, 감도맵 ACS 폭은 마스크에서 자동 검출). (i)은 입력</w:t>
      </w:r>
      <w:r>
        <w:t xml:space="preserve"> </w:t>
      </w:r>
      <w:r>
        <w:t xml:space="preserve">동일성을, (ii)는 leaderboard 가중치의 학습 조건 근접성을 각각 확보하며, 둘의 차이가 곧 전처리</w:t>
      </w:r>
      <w:r>
        <w:t xml:space="preserve"> </w:t>
      </w:r>
      <w:r>
        <w:t xml:space="preserve">domain shift(16코일 절단·해상도/FOV)의 크기다. 두 모델의 출력 스케일은 자체 정규화 기준이므로</w:t>
      </w:r>
      <w:r>
        <w:t xml:space="preserve"> </w:t>
      </w:r>
      <w:r>
        <w:t xml:space="preserve">지표 계산 전 per-slice 최소제곱 스케일 정합을 적용한다(우리 모델은 α≈1).</w:t>
      </w:r>
    </w:p>
    <w:p>
      <w:pPr>
        <w:pStyle w:val="BodyText"/>
      </w:pPr>
      <w:r>
        <w:rPr>
          <w:b/>
          <w:bCs/>
        </w:rPr>
        <w:t xml:space="preserve">두 가지 캐비엇을 명시한다.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본 검증셋 전체가 두 기준선의 학습 데이터에 포함돼 있다</w:t>
      </w:r>
      <w:r>
        <w:t xml:space="preserve"> </w:t>
      </w:r>
      <w:r>
        <w:t xml:space="preserve">—</w:t>
      </w:r>
      <w:r>
        <w:t xml:space="preserve"> </w:t>
      </w:r>
      <w:r>
        <w:t xml:space="preserve">공식 저장소는 leaderboard 모델에 대해</w:t>
      </w:r>
      <w:r>
        <w:t xml:space="preserve"> </w:t>
      </w:r>
      <w:r>
        <w:t xml:space="preserve">“The leaderboard model was trained where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split</w:t>
      </w:r>
      <w:r>
        <w:t xml:space="preserve"> </w:t>
      </w:r>
      <w:r>
        <w:t xml:space="preserve">included both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splits from the public data”</w:t>
      </w:r>
      <w:r>
        <w:t xml:space="preserve"> </w:t>
      </w:r>
      <w:r>
        <w:t xml:space="preserve">라고 명시한다[19]. 따라서 기준선</w:t>
      </w:r>
      <w:r>
        <w:t xml:space="preserve"> </w:t>
      </w:r>
      <w:r>
        <w:t xml:space="preserve">수치는 낙관적으로 편향되며,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만으로 학습한 본 모델들과의 우열 판정은 성립하지 않는다.</w:t>
      </w:r>
      <w:r>
        <w:t xml:space="preserve"> </w:t>
      </w:r>
      <w:r>
        <w:t xml:space="preserve">둘째, 사전학습 가중치는 R4·R8 혼합 학습본이고 원 학습분포가 본 전처리와 다르다. 이 두 이유로</w:t>
      </w:r>
      <w:r>
        <w:t xml:space="preserve"> </w:t>
      </w:r>
      <w:r>
        <w:t xml:space="preserve">기준선은</w:t>
      </w:r>
      <w:r>
        <w:t xml:space="preserve"> </w:t>
      </w:r>
      <w:r>
        <w:rPr>
          <w:b/>
          <w:bCs/>
        </w:rPr>
        <w:t xml:space="preserve">절대 우열이 아닌 참고선</w:t>
      </w:r>
      <w:r>
        <w:t xml:space="preserve">으로만 읽어야 한다.</w:t>
      </w:r>
    </w:p>
    <w:p>
      <w:pPr>
        <w:pStyle w:val="BodyText"/>
      </w:pPr>
      <w:r>
        <w:t xml:space="preserve">(구현 주의: 데이터로더가 코일을 16채널로 zero-pad 하므로 16코일 미만 볼륨—본 검증셋 464개 중</w:t>
      </w:r>
      <w:r>
        <w:t xml:space="preserve"> </w:t>
      </w:r>
      <w:r>
        <w:t xml:space="preserve">197개, 슬라이스 3,122/7,334—을 VarNet 에 그대로 넣으면 감도추정 U-Net 의 채널별 정규화에서</w:t>
      </w:r>
      <w:r>
        <w:t xml:space="preserve"> </w:t>
      </w:r>
      <w:r>
        <w:t xml:space="preserve">std=0 → NaN 이 발생해 슬라이스 전체가 무효가 된다. 실측 코일만 전달해 회피했다. VarNet 은</w:t>
      </w:r>
      <w:r>
        <w:t xml:space="preserve"> </w:t>
      </w:r>
      <w:r>
        <w:t xml:space="preserve">정규화·선형 DC·RSS 로 구성돼 양의 스칼라에 대해 positively homogeneous 이므로 입력 스케일</w:t>
      </w:r>
      <w:r>
        <w:t xml:space="preserve"> </w:t>
      </w:r>
      <w:r>
        <w:t xml:space="preserve">선택은 지표에 영향을 주지 않는다.)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의 두 프로토콜(동일 파이프라인 / 네이티브)로 사전학습 U-Net·E2E-VarNet [11]을 추론 평가한</w:t>
      </w:r>
      <w:r>
        <w:t xml:space="preserve"> </w:t>
      </w:r>
      <w:r>
        <w:t xml:space="preserve">결과(표준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t xml:space="preserve">해석은 §3.7 의 두 캐비엇 —</w:t>
      </w:r>
      <w:r>
        <w:t xml:space="preserve"> </w:t>
      </w:r>
      <w:r>
        <w:rPr>
          <w:b/>
          <w:bCs/>
        </w:rPr>
        <w:t xml:space="preserve">검증셋이 기준선의 학습 데이터에 포함</w:t>
      </w:r>
      <w:r>
        <w:t xml:space="preserve">, 전처리 domain shift — 아래에서</w:t>
      </w:r>
      <w:r>
        <w:t xml:space="preserve"> </w:t>
      </w:r>
      <w:r>
        <w:t xml:space="preserve">“참고선”</w:t>
      </w:r>
      <w:r>
        <w:t xml:space="preserve">으로 한정한다.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native_protocol.py</w:t>
      </w:r>
      <w:r>
        <w:rPr>
          <w:b/>
          <w:bCs/>
        </w:rPr>
        <w:t xml:space="preserve">. 2026-08-20</w:t>
      </w:r>
      <w:r>
        <w:rPr>
          <w:b/>
          <w:bCs/>
        </w:rPr>
        <w:t xml:space="preserve"> </w:t>
      </w:r>
      <w:r>
        <w:rPr>
          <w:b/>
          <w:bCs/>
        </w:rPr>
        <w:t xml:space="preserve">층화 표본(299 슬라이스, contrast × 코일수) CPU 예비 실행 중 — 전체 7,334 슬라이스 GPU 풀런은</w:t>
      </w:r>
      <w:r>
        <w:rPr>
          <w:b/>
          <w:bCs/>
        </w:rPr>
        <w:t xml:space="preserve"> </w:t>
      </w:r>
      <w:r>
        <w:rPr>
          <w:b/>
          <w:bCs/>
        </w:rPr>
        <w:t xml:space="preserve">radapt 완주(~08-25) 후.]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[17]→DOTA-MRI [50]→ETER-Net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SSM 이 RNN 을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[1–3,51]의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차세대 시퀀스 모델로서 SSM 은 RNN 의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계보 보강 (2026-09-01 추가 — Crossref 확정)</w:t>
      </w:r>
      <w:r>
        <w:t xml:space="preserve"> </w:t>
      </w:r>
      <w:r>
        <w:t xml:space="preserve">50. Eo, Shin, Jun, Kim &amp; Hwang (2020). Accelerating Cartesian MRI by domain-transform manifold learning in phase-encoding direction (DOTA-MRI).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63:101689. doi:10.1016/j.media.2020.101689.</w:t>
      </w:r>
      <w:r>
        <w:t xml:space="preserve"> </w:t>
      </w:r>
      <w:r>
        <w:rPr>
          <w:rStyle w:val="VerbatimChar"/>
        </w:rPr>
        <w:t xml:space="preserve">eo2020dota</w:t>
      </w:r>
      <w:r>
        <w:t xml:space="preserve"> </w:t>
      </w:r>
      <w:r>
        <w:t xml:space="preserve">51. Oh, Chung &amp; Han (2024). Domain transformation learning for MR image reconstruction from dual domain input (dual-input ETER-net).</w:t>
      </w:r>
      <w:r>
        <w:t xml:space="preserve"> </w:t>
      </w:r>
      <w:r>
        <w:rPr>
          <w:i/>
          <w:iCs/>
        </w:rPr>
        <w:t xml:space="preserve">Comput. Biol. Med.</w:t>
      </w:r>
      <w:r>
        <w:t xml:space="preserve"> </w:t>
      </w:r>
      <w:r>
        <w:t xml:space="preserve">170:108098. doi:10.1016/j.compbiomed.2024.108098.</w:t>
      </w:r>
      <w:r>
        <w:t xml:space="preserve"> </w:t>
      </w:r>
      <w:r>
        <w:rPr>
          <w:rStyle w:val="VerbatimChar"/>
        </w:rPr>
        <w:t xml:space="preserve">oh2024dualinput</w:t>
      </w:r>
      <w:r>
        <w:t xml:space="preserve"> </w:t>
      </w:r>
      <w:r>
        <w:t xml:space="preserve">— ★ v8 백본 dual-input(cat(seq출력, aliased)) 의 직접 전신 + 랜덤/불규칙 궤적·R∈{4,8} (radapt 위치설정: 부록 B-3)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(2026). DH-Mamba: exploring dual-domain hierarchical state space models for MRI reconstruction.</w:t>
      </w:r>
      <w:r>
        <w:t xml:space="preserve"> </w:t>
      </w:r>
      <w:r>
        <w:rPr>
          <w:i/>
          <w:iCs/>
        </w:rPr>
        <w:t xml:space="preserve">IEEE TCSVT</w:t>
      </w:r>
      <w:r>
        <w:t xml:space="preserve"> </w:t>
      </w:r>
      <w:r>
        <w:t xml:space="preserve">36(3):3290–3305. doi:10.1109/TCSVT.2025.3614828 (arXiv:2501.08163, v1 제목 DM-Mamba).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34. Kabas et al. (2026). Physics-driven autoregressive state space models for medical image reconstruction (MambaRoll).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(early access). doi:10.1109/TMI.2026.3716153 (arXiv:2412.09331).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(✎ 권호/페이지 배정 시 갱신)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LaTeX 투고용(MDPI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v8_eter_pure/native_protocol.py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results/eval/baselines_384{,_sample300}/</w:t>
            </w:r>
          </w:p>
        </w:tc>
        <w:tc>
          <w:tcPr/>
          <w:p>
            <w:pPr>
              <w:pStyle w:val="Compact"/>
            </w:pPr>
            <w:r>
              <w:t xml:space="preserve">⏳ 08-20 CPU 층화 표본(299) 실행 중 · 전체 GPU 풀런은 radapt 완주 후. 08-20 수정: zero-coil→NaN 회피(검증셋 42.6% 무효화 방지) + 네이티브 프로토콜 행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[1,51,3]의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포함 시 위치설정(09-01 추가)</w:t>
      </w:r>
      <w:r>
        <w:t xml:space="preserve">: 교수님</w:t>
      </w:r>
      <w:r>
        <w:t xml:space="preserve"> </w:t>
      </w:r>
      <w:r>
        <w:t xml:space="preserve">dual-input ETER-net [51]이 folded-image 보조 입력으로 랜덤/불규칙 궤적·R∈{4,8}을 다룬 같은</w:t>
      </w:r>
      <w:r>
        <w:t xml:space="preserve"> </w:t>
      </w:r>
      <w:r>
        <w:t xml:space="preserve">질문의 RNN-시대 해법이므로, radapt(mask-conditioning+multi-AR+DC)를 그 SSM-시대 직접 후속으로 서술.</w:t>
      </w:r>
      <w:r>
        <w:t xml:space="preserve"> </w:t>
      </w:r>
      <w:r>
        <w:rPr>
          <w:b/>
          <w:bCs/>
        </w:rPr>
        <w:t xml:space="preserve">→ 결정(2026-09-02, 내부): 편입 방향으로 진행</w:t>
      </w:r>
      <w:r>
        <w:t xml:space="preserve"> </w:t>
      </w:r>
      <w:r>
        <w:t xml:space="preserve">— radapt 완주 후 R-sweep(R∈{2,4,6,8}) 이</w:t>
      </w:r>
      <w:r>
        <w:t xml:space="preserve"> </w:t>
      </w:r>
      <w:r>
        <w:t xml:space="preserve">깨끗한지 검증하고 최종 확정. 교수님 보고 항목 유지.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  <w:r>
        <w:t xml:space="preserve"> </w:t>
      </w:r>
      <w:r>
        <w:rPr>
          <w:b/>
          <w:bCs/>
        </w:rPr>
        <w:t xml:space="preserve">→ 결정(2026-09-02, 내부): 축약판 실행 확정</w:t>
      </w:r>
      <w:r>
        <w:t xml:space="preserve"> </w:t>
      </w:r>
      <w:r>
        <w:t xml:space="preserve">— SEED 인프라·런처 준비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docs/v8_fairness_followup_plan.md</w:t>
      </w:r>
      <w:r>
        <w:t xml:space="preserve"> </w:t>
      </w:r>
      <w:r>
        <w:t xml:space="preserve">E1), radapt 완주 후 GPU 큐.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 해소(09-01): [33] TCSVT 36(3):3290–3305 확정·[34] TMI early-access DOI 확정(권호 배정 대기)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기준선(08-20 CPU 층화 표본 299로 선행 확인 → GPU 전량 재실행)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 → v2.2(2026-09-01, 계보 서지 보강 — DOTA-MRI [50]·dual-input</w:t>
      </w:r>
      <w:r>
        <w:rPr>
          <w:i/>
          <w:iCs/>
        </w:rPr>
        <w:t xml:space="preserve"> </w:t>
      </w:r>
      <w:r>
        <w:rPr>
          <w:i/>
          <w:iCs/>
        </w:rPr>
        <w:t xml:space="preserve">ETER-net [51] 추가·본문 반영(§1③·§2.1·§2.4·§5-(2)·부록 B), Crossref 확정; 같은 날 서지 전건 재검증 74항목 — IEEE SPM 2편 부제 복원·JKSR 2편 저자 보강·SENSE/ReconFormer/WACV/MICCAI/CVPR DOI 보강·[33][34] 권호 확정·lin2024robustness 저자 오표기 키 교정).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2026-09-02T02:58:58Z</dcterms:created>
  <dcterms:modified xsi:type="dcterms:W3CDTF">2026-09-02T02:58:58Z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