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bottomFromText="28" w:vertAnchor="text" w:tblpYSpec="top"/>
        <w:tblW w:w="964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45"/>
      </w:tblGrid>
      <w:tr>
        <w:trPr>
          <w:trHeight w:val="9717"/>
        </w:trPr>
        <w:tc>
          <w:tcPr>
            <w:tcW w:w="964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af3"/>
            </w:pPr>
            <w:bookmarkStart w:id="0" w:name="_top"/>
            <w:bookmarkEnd w:id="0"/>
            <w:r>
              <w:t xml:space="preserve"/>
            </w:r>
          </w:p>
          <w:p>
            <w:pPr>
              <w:pStyle w:val="a9"/>
            </w:pPr>
            <w:r>
              <w:t xml:space="preserve">가속 MRI 재구성 네트워크 ETER-Net에서 순환신경망을 선택적 상태공간모델로 치환한 통제 비교 연구</w:t>
            </w:r>
          </w:p>
          <w:p>
            <w:pPr>
              <w:pStyle w:val="aa"/>
            </w:pPr>
            <w:r>
              <w:rPr>
                <w:sz w:val="34"/>
              </w:rPr>
              <w:t xml:space="preserve">A Controlled Study of Replacing the RNN with a Selective SSM in ETER-Net for Accelerated MRI Reconstruction</w:t>
            </w:r>
          </w:p>
          <w:p>
            <w:pPr>
              <w:pStyle w:val="ad"/>
            </w:pPr>
            <w:r>
              <w:t xml:space="preserve">요</w:t>
            </w:r>
            <w:r>
              <w:t xml:space="preserve">  </w:t>
            </w:r>
            <w:r>
              <w:t xml:space="preserve">약</w:t>
            </w:r>
          </w:p>
          <w:p>
            <w:pPr>
              <w:pStyle w:val="ae"/>
            </w:pPr>
            <w:r>
              <w:t xml:space="preserve">ETER-net은 언더샘플링된 k-space를 양방향 순환신경망을 활용하여 영상 도메인으로 직접 변환하는 MRI 재구성 방법이다. 본 연구는 ETER-net의 도메인 변환 모듈(이하 시퀀스 모듈)인 양방향 GRU(gated recurrent unit, bi-GRU) 모듈을 2차원 선택적 상태공간모델(SS2D)로 교체한 모델(이하 SS2D(controlled))과 ETER-net의 재구성 성능을 비교한다. 본 연구의 구성에서는 U-Net이 다중 코일 zero-filled 영상도 함께 입력받는다. 또한 본 연구는 시퀀스 모듈의 출력을 0으로 대체한 U-Net only 모델을 대조 모델로 함께 학습하였다. fastMRI brain multicoil 데이터셋(384×384)의 k-space를 가속화 계수 4(R=4)로 언더샘플링한 조건에서, 모든 모델은 시퀀스 모듈과, ETER-net에만 적용한 GRU 한 개의 32비트 계산 및 기울기 보호 장치를 제외하면 데이터, 언더샘플링 마스크, U-Net 구조와 초깃값, 손실 함수, 최적화 설정이 같으며, 명시적 데이터 일관성 블록을 포함하지 않는다. SS2D(controlled)와 U-Net only 모델의 파라미터 수는 ETER-net의 약 1/21이다. 각 모델을 같은 난수 시드로 50 epochs 동안 한 번씩 학습하여 test_full 분할(558개 볼륨)에서 평가한 결과, brain mask 내부에서 계산한 볼륨 평균 structural similarity index(SSIM) 값은 기준 모델인 ETER-net보다 U-Net only가 0.0022, SS2D(controlled)가 0.0008 높았다(볼륨 단위 대응 Wilcoxon signed-rank 검정, </w:t>
            </w:r>
            <m:oMath>
              <m:r>
                <m:t xml:space="preserve">p&lt;0.001</m:t>
              </m:r>
            </m:oMath>
            <w:r>
              <w:t xml:space="preserve">). SS2D(controlled)의 SSIM은 U-Net only보다 0.0014 낮았으므로, 본 연구는 SS2D(controlled)와 ETER-net의 차이를 상태공간 모델링의 효과로 해석하지 않는다. 학습 손실에 포함되지 않은 배경까지 평가하는 fastMRI 공식 평가 정의에서는 SS2D(controlled)의 SSIM이 ETER-net보다 낮았다(0.8389 대 0.8652). 각 모델을 한 번씩만 학습하였으므로, 이 차이들로 시퀀스 모듈이 재구성에 도움이 되는지 또는 해가 되는지는 판단할 수 없다.</w:t>
            </w:r>
          </w:p>
          <w:p>
            <w:pPr>
              <w:pStyle w:val="Abstract"/>
            </w:pPr>
            <w:r>
              <w:t xml:space="preserve">Abstract</w:t>
            </w:r>
          </w:p>
          <w:p>
            <w:pPr>
              <w:pStyle w:val="ae"/>
            </w:pPr>
            <w:r>
              <w:t xml:space="preserve">ETER-net is an MRI reconstruction method that transforms undersampled k-space directly into the image domain with a bidirectional recurrent neural network. This study replaces its bidirectional gated recurrent unit (GRU) sequence module with a two-dimensional selective state-space model (SS2D), giving SS2D(controlled), and trains a U-Net only model whose sequence-module output is zeroed. All U-Nets also receive the zero-filled coil images, no model has a data-consistency block, and the models differ only in the sequence module (and, in ETER-net, 32-bit computation of one GRU and non-finite-gradient guards); SS2D(controlled) and the U-Net only model have about 1/21 of ETER-net's parameters. Each model was trained once (50 epochs, same seed) on the fastMRI brain multicoil dataset (384×384, R=4) and evaluated on the test_full split (558 volumes). Relative to the reference ETER-net, the volume-averaged structural similarity index (SSIM) within a brain mask was 0.0022 higher for the U-Net only model and 0.0008 higher for SS2D(controlled) (Wilcoxon signed-rank test, </w:t>
            </w:r>
            <m:oMath>
              <m:r>
                <m:t xml:space="preserve">p&lt;0.001</m:t>
              </m:r>
            </m:oMath>
            <w:r>
              <w:t xml:space="preserve">). Because SS2D(controlled) scored 0.0014 below the U-Net only model, the SS2D(controlled)–ETER-net difference is not attributed to state-space modeling. Under the official fastMRI SSIM definition, which includes the background excluded from the loss, SS2D(controlled) scored below ETER-net (0.8389 vs. 0.8652). As each model was trained once, these differences do not show whether the sequence modules help or hurt reconstruction.</w:t>
            </w:r>
          </w:p>
          <w:p>
            <w:pPr>
              <w:pStyle w:val="a3"/>
            </w:pPr>
            <w:r>
              <w:rPr>
                <w:rStyle w:val="Keywords"/>
                <w:spacing w:val="0"/>
              </w:rPr>
              <w:t xml:space="preserve">      </w:t>
            </w:r>
            <w:r>
              <w:rPr>
                <w:rStyle w:val="Keywords"/>
                <w:spacing w:val="0"/>
              </w:rPr>
              <w:t xml:space="preserve">Keywords</w:t>
            </w:r>
            <w:r>
              <w:t xml:space="preserve"> :</w:t>
            </w:r>
            <w:r>
              <w:t xml:space="preserve"> </w:t>
            </w:r>
            <w:r>
              <w:rPr>
                <w:rStyle w:val="Keywords0"/>
                <w:spacing w:val="0"/>
              </w:rPr>
              <w:t xml:space="preserve">MRI reconstruction, accelerated MRI, ETER-net, recurrent neural network, selective state-space model, SS2D, controlled comparison</w:t>
            </w:r>
          </w:p>
        </w:tc>
      </w:tr>
      <w:tr>
        <w:tc>
          <w:tcPr>
            <w:tcW w:w="964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af3"/>
            </w:pPr>
          </w:p>
        </w:tc>
      </w:tr>
    </w:tbl>
    <w:p>
      <w:pPr>
        <w:pStyle w:val="a5"/>
      </w:pPr>
      <w:r>
        <w:rPr>
          <w:rFonts w:ascii="바탕"/>
        </w:rPr>
        <w:t xml:space="preserve">Ⅰ</w:t>
      </w:r>
      <w:r>
        <w:t xml:space="preserve">. </w:t>
      </w:r>
      <w:r>
        <w:t xml:space="preserve">서  론</w:t>
      </w:r>
    </w:p>
    <w:p>
      <w:pPr>
        <w:pStyle w:val="a4"/>
      </w:pPr>
      <w:r>
        <w:t xml:space="preserve">자기공명영상(MRI)은 k-space를 순차적으로 수집하므로 촬영 시간이 길다. 촬영 시간을 단축하기 위해 언더샘플링된 k-space로부터 영상을 복원하는 딥러닝 기법이 연구되어 왔다. 대표적인 접근으로는 물리 모델 기반 반복 최적화 과정을 신경망 층으로 펼치는 방식(unrolling)</w:t>
      </w:r>
      <w:r>
        <w:rPr>
          <w:vertAlign w:val="superscript"/>
        </w:rPr>
        <w:t xml:space="preserve">[1]</w:t>
      </w:r>
      <w:r>
        <w:t xml:space="preserve">과 k-space를 영상으로 직접 변환하는 도메인 변환 방식</w:t>
      </w:r>
      <w:r>
        <w:rPr>
          <w:vertAlign w:val="superscript"/>
        </w:rPr>
        <w:t xml:space="preserve">[2]</w:t>
      </w:r>
      <w:r>
        <w:t xml:space="preserve">이 있다. ETER-net</w:t>
      </w:r>
      <w:r>
        <w:rPr>
          <w:vertAlign w:val="superscript"/>
        </w:rPr>
        <w:t xml:space="preserve">[3]</w:t>
      </w:r>
      <w:r>
        <w:t xml:space="preserve">은 후자에 속한다. 양방향 GRU(gated recurrent unit, bi-GRU)가 k-space를 행·열 방향으로 읽어 영상 도메인 특징으로 변환하고 U-Net이 에일리어싱(aliasing) 아티팩트를 줄이며, ETER-net은 명시적 데이터 일관성 블록을 사용하지 않는다</w:t>
      </w:r>
      <w:r>
        <w:rPr>
          <w:vertAlign w:val="superscript"/>
        </w:rPr>
        <w:t xml:space="preserve">[3, 4]</w:t>
      </w:r>
      <w:r>
        <w:t xml:space="preserve">. 이후 non-Cartesian 궤적</w:t>
      </w:r>
      <w:r>
        <w:rPr>
          <w:vertAlign w:val="superscript"/>
        </w:rPr>
        <w:t xml:space="preserve">[4]</w:t>
      </w:r>
      <w:r>
        <w:t xml:space="preserve">과 Vision Transformer 인코더 결합</w:t>
      </w:r>
      <w:r>
        <w:rPr>
          <w:vertAlign w:val="superscript"/>
        </w:rPr>
        <w:t xml:space="preserve">[5]</w:t>
      </w:r>
      <w:r>
        <w:t xml:space="preserve">으로 확장되었으나 도메인 변환의 핵심인 양방향 순환신경망(bi-RNN)은 유지되었다. 그러나 ETER-net은 행·열 방향을 순차 처리하는 구조여서 병렬화가 어렵고, flattened 2D 고차원 입력을 GRU로 처리하므로 대규모 가중치 행렬이 필요하며, 전체 파라미터 수가 수억 개에 이른다. 선택적 상태공간모델(SSM)인 Mamba</w:t>
      </w:r>
      <w:r>
        <w:rPr>
          <w:vertAlign w:val="superscript"/>
        </w:rPr>
        <w:t xml:space="preserve">[6]</w:t>
      </w:r>
      <w:r>
        <w:t xml:space="preserve">는 입력 의존 순환을 병렬 스캔으로 선형 시간에 계산하고, 이를 2차원으로 확장한 SS2D</w:t>
      </w:r>
      <w:r>
        <w:rPr>
          <w:vertAlign w:val="superscript"/>
        </w:rPr>
        <w:t xml:space="preserve">[7]</w:t>
      </w:r>
      <w:r>
        <w:t xml:space="preserve">는 선택적 스캔을 여러 방향으로 적용하여 2차원 공간 정보를 처리한다. 기존의 Mamba 기반 MRI 재구성 연구</w:t>
      </w:r>
      <w:r>
        <w:rPr>
          <w:vertAlign w:val="superscript"/>
        </w:rPr>
        <w:t xml:space="preserve">[8, 9]</w:t>
      </w:r>
      <w:r>
        <w:t xml:space="preserve">는 새로운 구조 전체를 제안하였고, 기존 골격에서 순환신경망만 SSM으로 바꾼 효과를 분리하여 보고하지 않았다. 본 논문은 ETER-net에서 도메인 변환을 담당하는 시퀀스 모듈만 bi-GRU에서 SS2D로 치환하고, 나머지 구조는 모두 고정한 상태에서 통제 비교 분석을 수행한다. 또한 시퀀스 모듈의 기여를 가늠하기 위해 그 출력을 0으로 대체한 U-Net only 모델을 함께 학습하여 비교한다.</w:t>
      </w:r>
    </w:p>
    <w:p>
      <w:pPr>
        <w:pStyle w:val="a5"/>
      </w:pPr>
      <w:r>
        <w:rPr>
          <w:rFonts w:ascii="바탕"/>
        </w:rPr>
        <w:t xml:space="preserve">Ⅱ</w:t>
      </w:r>
      <w:r>
        <w:t xml:space="preserve">. </w:t>
      </w:r>
      <w:r>
        <w:t xml:space="preserve">방  법</w:t>
      </w:r>
    </w:p>
    <w:p>
      <w:pPr>
        <w:pStyle w:val="a6"/>
      </w:pPr>
      <w:r>
        <w:t xml:space="preserve">1. </w:t>
      </w:r>
      <w:r>
        <w:t xml:space="preserve">비교 실험의 공통 재구성 파이프라인</w:t>
      </w:r>
    </w:p>
    <w:p>
      <w:pPr>
        <w:pStyle w:val="a4"/>
      </w:pPr>
      <w:r>
        <w:t xml:space="preserve">그림 1의 파이프라인에서는 완전 샘플링된(fully-sampled) k-space </w:t>
      </w:r>
      <m:oMath>
        <m:sSub>
          <m:e>
            <m:r>
              <m:t xml:space="preserve">y</m:t>
            </m:r>
          </m:e>
          <m:sub>
            <m:r>
              <m:t xml:space="preserve">c</m:t>
            </m:r>
          </m:sub>
        </m:sSub>
      </m:oMath>
      <w:r>
        <w:t xml:space="preserve">에 가속화 계수가 4인(R=4) 등간격(equispaced) 마스크 </w:t>
      </w:r>
      <m:oMath>
        <m:r>
          <m:t xml:space="preserve">M</m:t>
        </m:r>
      </m:oMath>
      <w:r>
        <w:t xml:space="preserve">을 적용하여, 언더샘플링된 k-space </w:t>
      </w:r>
      <m:oMath>
        <m:sSub>
          <m:e>
            <m:acc>
              <m:accPr>
                <m:chr m:val="̃"/>
              </m:accPr>
              <m:e>
                <m:r>
                  <m:t xml:space="preserve">y</m:t>
                </m:r>
              </m:e>
            </m:acc>
          </m:e>
          <m:sub>
            <m:r>
              <m:t xml:space="preserve">c</m:t>
            </m:r>
          </m:sub>
        </m:sSub>
      </m:oMath>
      <w:r>
        <w:t xml:space="preserve">(</w:t>
      </w:r>
      <m:oMath>
        <m:r>
          <m:t xml:space="preserve">=M⊙</m:t>
        </m:r>
        <m:sSub>
          <m:e>
            <m:r>
              <m:t xml:space="preserve">y</m:t>
            </m:r>
          </m:e>
          <m:sub>
            <m:r>
              <m:t xml:space="preserve">c</m:t>
            </m:r>
          </m:sub>
        </m:sSub>
      </m:oMath>
      <w:r>
        <w:t xml:space="preserve">, </w:t>
      </w:r>
      <m:oMath>
        <m:r>
          <m:t xml:space="preserve">⊙</m:t>
        </m:r>
      </m:oMath>
      <w:r>
        <w:t xml:space="preserve">는 원소별 곱)를 생성한다. 이를 실수·허수로 분리한 32채널 텐서를 모델의 입력으로 사용한다. 마스크 </w:t>
      </w:r>
      <m:oMath>
        <m:r>
          <m:t xml:space="preserve">M</m:t>
        </m:r>
      </m:oMath>
      <w:r>
        <w:t xml:space="preserve">은 k-space 중앙 8%의 auto-calibration signal(ACS) 라인을 모두 포함한다. 한편, 참조 영상(Ground Truth) </w:t>
      </w:r>
      <m:oMath>
        <m:sSup>
          <m:e>
            <m:r>
              <m:t xml:space="preserve">x</m:t>
            </m:r>
          </m:e>
          <m:sup>
            <m:r>
              <m:t xml:space="preserve">∗</m:t>
            </m:r>
          </m:sup>
        </m:sSup>
      </m:oMath>
      <w:r>
        <w:t xml:space="preserve">는 데이터셋이 제공하는 전체 코일 RSS(Root-Sum-of-Squares) 영상을 384×384 크기로 크롭 및 패딩하여 생성한다. 순차적 입력을 처리하는 모듈 </w:t>
      </w:r>
      <m:oMath>
        <m:sSub>
          <m:e>
            <m:r>
              <m:t xml:space="preserve">f</m:t>
            </m:r>
          </m:e>
          <m:sub>
            <m:r>
              <m:t xml:space="preserve">θ</m:t>
            </m:r>
          </m:sub>
        </m:sSub>
      </m:oMath>
      <w:r>
        <w:t xml:space="preserve">(이하 시퀀스 모듈)는 입력 k-space를 영상 도메인 특징(20채널)으로 변환하도록 구성된다. 동일한 </w:t>
      </w:r>
      <m:oMath>
        <m:sSub>
          <m:e>
            <m:acc>
              <m:accPr>
                <m:chr m:val="̃"/>
              </m:accPr>
              <m:e>
                <m:r>
                  <m:t xml:space="preserve">y</m:t>
                </m:r>
              </m:e>
            </m:acc>
          </m:e>
          <m:sub>
            <m:r>
              <m:t xml:space="preserve">c</m:t>
            </m:r>
          </m:sub>
        </m:sSub>
      </m:oMath>
      <w:r>
        <w:t xml:space="preserve">에 코일별 역 푸리에 변환을 적용한 zero-filled 영상(32채널)과 시퀀스 모듈의 출력을 채널 축으로 결합한다. 후처리를 담당하는 U-Net </w:t>
      </w:r>
      <m:oMath>
        <m:sSub>
          <m:e>
            <m:r>
              <m:t xml:space="preserve">g</m:t>
            </m:r>
          </m:e>
          <m:sub>
            <m:r>
              <m:t xml:space="preserve">φ</m:t>
            </m:r>
          </m:sub>
        </m:sSub>
      </m:oMath>
      <w:r>
        <w:t xml:space="preserve">가 결합 텐서를 입력으로 하여 최종 결과인 크기(magnitude) 영상 </w:t>
      </w:r>
      <m:oMath>
        <m:acc>
          <m:accPr>
            <m:chr m:val="̂"/>
          </m:accPr>
          <m:e>
            <m:r>
              <m:t xml:space="preserve">x</m:t>
            </m:r>
          </m:e>
        </m:acc>
      </m:oMath>
      <w:r>
        <w:t xml:space="preserve">을 출력한다(식 (1)). 실험에 사용한 U-Net은 dual-frame skip을 포함하며, 깊이가 5, 첫 단계의 채널 수가 64이고, 파라미터의 수는 31.1M이다.</w:t>
      </w:r>
    </w:p>
    <w:p>
      <w:pPr>
        <w:pStyle w:val="af6"/>
        <w:tabs>
          <w:tab w:val="clear" w:pos="408"/>
          <w:tab w:val="clear" w:pos="686"/>
          <w:tab w:val="clear" w:pos="756"/>
          <w:tab w:val="center" w:pos="2131"/>
          <w:tab w:val="right" w:pos="4563"/>
        </w:tabs>
        <w:spacing w:before="100" w:after="160"/>
        <w:ind w:left="0" w:firstLine="0"/>
        <w:jc w:val="left"/>
      </w:pPr>
      <w:r>
        <w:tab/>
      </w:r>
      <m:oMath>
        <m:acc>
          <m:accPr>
            <m:chr m:val="̂"/>
          </m:accPr>
          <m:e>
            <m:r>
              <m:t xml:space="preserve">x</m:t>
            </m:r>
          </m:e>
        </m:acc>
        <m:r>
          <m:t xml:space="preserve">=</m:t>
        </m:r>
        <m:sSub>
          <m:e>
            <m:r>
              <m:t xml:space="preserve">g</m:t>
            </m:r>
          </m:e>
          <m:sub>
            <m:r>
              <m:t xml:space="preserve">φ</m:t>
            </m:r>
          </m:sub>
        </m:sSub>
        <m:d>
          <m:dPr/>
          <m:e>
            <m:r>
              <m:rPr>
                <m:sty m:val="p"/>
              </m:rPr>
              <m:t xml:space="preserve">concat</m:t>
            </m:r>
            <m:d>
              <m:dPr/>
              <m:e>
                <m:sSub>
                  <m:e>
                    <m:r>
                      <m:t xml:space="preserve">f</m:t>
                    </m:r>
                  </m:e>
                  <m:sub>
                    <m:r>
                      <m:t xml:space="preserve">θ</m:t>
                    </m:r>
                  </m:sub>
                </m:sSub>
                <m:r>
                  <m:t xml:space="preserve">({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 xml:space="preserve">y</m:t>
                        </m:r>
                      </m:e>
                    </m:acc>
                  </m:e>
                  <m:sub>
                    <m:r>
                      <m:t xml:space="preserve">c</m:t>
                    </m:r>
                  </m:sub>
                </m:sSub>
                <m:r>
                  <m:t xml:space="preserve">}),</m:t>
                </m:r>
                <m:sSup>
                  <m:e>
                    <m:r>
                      <m:rPr>
                        <m:scr m:val="script"/>
                      </m:rPr>
                      <m:t>F</m:t>
                    </m:r>
                  </m:e>
                  <m:sup>
                    <m:r>
                      <m:t xml:space="preserve">−1</m:t>
                    </m:r>
                  </m:sup>
                </m:sSup>
                <m:r>
                  <m:t xml:space="preserve">{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 xml:space="preserve">y</m:t>
                        </m:r>
                      </m:e>
                    </m:acc>
                  </m:e>
                  <m:sub>
                    <m:r>
                      <m:t xml:space="preserve">c</m:t>
                    </m:r>
                  </m:sub>
                </m:sSub>
                <m:r>
                  <m:t xml:space="preserve">}</m:t>
                </m:r>
              </m:e>
            </m:d>
          </m:e>
        </m:d>
      </m:oMath>
      <w:r>
        <w:tab/>
        <w:t xml:space="preserve">(1)</w:t>
      </w:r>
    </w:p>
    <w:p>
      <w:pPr>
        <w:pStyle w:val="a4"/>
      </w:pPr>
      <w:r>
        <w:t xml:space="preserve">식 (1)에서 </w:t>
      </w:r>
      <m:oMath>
        <m:r>
          <m:t xml:space="preserve">{</m:t>
        </m:r>
        <m:sSub>
          <m:e>
            <m:acc>
              <m:accPr>
                <m:chr m:val="̃"/>
              </m:accPr>
              <m:e>
                <m:r>
                  <m:t xml:space="preserve">y</m:t>
                </m:r>
              </m:e>
            </m:acc>
          </m:e>
          <m:sub>
            <m:r>
              <m:t xml:space="preserve">c</m:t>
            </m:r>
          </m:sub>
        </m:sSub>
        <m:r>
          <m:t xml:space="preserve">}</m:t>
        </m:r>
      </m:oMath>
      <w:r>
        <w:t xml:space="preserve">는 모든 코일(</w:t>
      </w:r>
      <m:oMath>
        <m:r>
          <m:t xml:space="preserve">c</m:t>
        </m:r>
      </m:oMath>
      <w:r>
        <w:t xml:space="preserve">는 코일 인덱스)의 언더샘플링된 k-space, </w:t>
      </w:r>
      <m:oMath>
        <m:sSup>
          <m:e>
            <m:r>
              <m:rPr>
                <m:scr m:val="script"/>
              </m:rPr>
              <m:t>F</m:t>
            </m:r>
          </m:e>
          <m:sup>
            <m:r>
              <m:t xml:space="preserve">−1</m:t>
            </m:r>
          </m:sup>
        </m:sSup>
      </m:oMath>
      <w:r>
        <w:t xml:space="preserve">는 코일별 2차원 역 푸리에 변환, </w:t>
      </w:r>
      <m:oMath>
        <m:r>
          <m:rPr>
            <m:sty m:val="p"/>
          </m:rPr>
          <m:t xml:space="preserve">concat</m:t>
        </m:r>
      </m:oMath>
      <w:r>
        <w:t xml:space="preserve">은 두 텐서를 채널 축으로 결합하는 연산이며, </w:t>
      </w:r>
      <m:oMath>
        <m:r>
          <m:t xml:space="preserve">θ</m:t>
        </m:r>
      </m:oMath>
      <w:r>
        <w:t xml:space="preserve">와 </w:t>
      </w:r>
      <m:oMath>
        <m:r>
          <m:t xml:space="preserve">φ</m:t>
        </m:r>
      </m:oMath>
      <w:r>
        <w:t xml:space="preserve">는 각각 </w:t>
      </w:r>
      <m:oMath>
        <m:sSub>
          <m:e>
            <m:r>
              <m:t xml:space="preserve">f</m:t>
            </m:r>
          </m:e>
          <m:sub>
            <m:r>
              <m:t xml:space="preserve">θ</m:t>
            </m:r>
          </m:sub>
        </m:sSub>
      </m:oMath>
      <w:r>
        <w:t xml:space="preserve">와 </w:t>
      </w:r>
      <m:oMath>
        <m:sSub>
          <m:e>
            <m:r>
              <m:t xml:space="preserve">g</m:t>
            </m:r>
          </m:e>
          <m:sub>
            <m:r>
              <m:t xml:space="preserve">φ</m:t>
            </m:r>
          </m:sub>
        </m:sSub>
      </m:oMath>
      <w:r>
        <w:t xml:space="preserve">의 학습 파라미터이다. 이하 비교하는 세 모델의 구조는 시퀀스 모듈의 구성(bi-GRU, SS2D, 없음)에서만 다르며, U-Net only 모델은 시퀀스 모듈의 출력 20채널을 0으로 대체한 모델(전체 파라미터 수 31.1M)이다. bi-RNN의 출력만 U-Net에 입력하는 </w:t>
      </w:r>
      <w:r>
        <w:rPr>
          <w:vertAlign w:val="superscript"/>
        </w:rPr>
        <w:t xml:space="preserve">[4]</w:t>
      </w:r>
      <w:r>
        <w:t xml:space="preserve">의 구조와 달리, 본 연구의 ETER-net은 공개된 구현 코드와 같이 U-Net이 시퀀스 모듈의 출력과 함께 32채널 zero-filled 영상을 입력받는다. zero-filled 영상은 언더샘플링된 k-space와 같은 정보를 담고 있으므로, U-Net only 모델도 다른 모델과 같은 입력 정보를 받는다.</w:t>
      </w:r>
    </w:p>
    <w:p>
      <w:pPr>
        <w:pStyle w:val="a3"/>
        <w:spacing w:before="60" w:after="60"/>
        <w:ind w:firstLine="0"/>
        <w:jc w:val="center"/>
      </w:pPr>
      <w:r>
        <w:drawing>
          <wp:inline distT="0" distB="0" distL="0" distR="0">
            <wp:extent cx="2897505" cy="1980565"/>
            <wp:effectExtent l="0" t="0" r="0" b="0"/>
            <wp:docPr id="101" name="Fig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97505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8"/>
      </w:pPr>
      <w:r>
        <w:t xml:space="preserve">Fig.</w:t>
      </w:r>
      <w:r>
        <w:tab/>
      </w:r>
      <w:r>
        <w:t xml:space="preserve">1.</w:t>
      </w:r>
      <w:r>
        <w:tab/>
      </w:r>
      <w:r>
        <w:t xml:space="preserve">Common ETER-net pipeline; only the sequence module </w:t>
      </w:r>
      <m:oMath>
        <m:sSub>
          <m:e>
            <m:r>
              <m:t xml:space="preserve">f</m:t>
            </m:r>
          </m:e>
          <m:sub>
            <m:r>
              <m:t xml:space="preserve">θ</m:t>
            </m:r>
          </m:sub>
        </m:sSub>
      </m:oMath>
      <w:r>
        <w:t xml:space="preserve"> (dashed box) differs (output zeroed in the U-Net only model)</w:t>
      </w:r>
    </w:p>
    <w:p>
      <w:pPr>
        <w:pStyle w:val="a6"/>
      </w:pPr>
      <w:r>
        <w:t xml:space="preserve">2. </w:t>
      </w:r>
      <w:r>
        <w:t xml:space="preserve">시퀀스 모듈의 두 구성</w:t>
      </w:r>
    </w:p>
    <w:p>
      <w:pPr>
        <w:pStyle w:val="a4"/>
      </w:pPr>
      <w:r>
        <w:t xml:space="preserve">ETER-net의 bi-GRU 모듈은 그림 2(a)에 나타나듯이, 입력 k-space를 384개 행의 시퀀스(스텝당 12,288차원)로 펼쳐 양방향 GRU를 통과시킨 뒤, 전치하여 열 방향으로 한 번 더 통과시키는 구조이다. 다만 공개 구현과 같이 32×384×384 입력을 순서를 바꾸지 않고 384×12,288로 재배열하므로, 한 스텝은 한 채널의 연속된 32개 행에 해당한다. bi-GRU 모듈의 파라미터의 수는 637.1M, 모델의 전체 파라미터의 수는 668.2M이다. 그림 2(b)는 SS2D 모듈을 나타낸다. 이 모듈은 각 k-space 위치의 32채널 벡터를 층 정규화(Layer Normalization, LN)와 선형 층을 거쳐 128채널로 바꾸고 3×3 depthwise convolution으로 이웃 위치의 정보를 혼합한 뒤, 각 행에 대해서는 좌우 두 방향, 각 열에 대해서는 상하 두 방향으로 S6를 적용하여 선택적 스캔을 수행한다. SS2D 모듈은 원 SS2D</w:t>
      </w:r>
      <w:r>
        <w:rPr>
          <w:vertAlign w:val="superscript"/>
        </w:rPr>
        <w:t xml:space="preserve">[7]</w:t>
      </w:r>
      <w:r>
        <w:t xml:space="preserve">와 같이 방향마다 독립된 가중치를 적용하지만, 특징 지도 전체를 네 가지 순회 경로마다 한 시퀀스로 펼치는 원 SS2D와 달리 384 길이의 각 행과 열을 독립 시퀀스로 처리한다. 마지막으로 네 방향의 출력을 채널 축으로 결합한 뒤 bi-GRU 모듈의 출력과 같은 20채널로 변환한다. S6는 Mamba</w:t>
      </w:r>
      <w:r>
        <w:rPr>
          <w:vertAlign w:val="superscript"/>
        </w:rPr>
        <w:t xml:space="preserve">[6]</w:t>
      </w:r>
      <w:r>
        <w:t xml:space="preserve">에서 정의한 구조(S4 + selection + scan)로, 구조화 상태 공간 시퀀스 모델(S4)에 입력에 따라 계수가 달라지는 선택(selection) 메커니즘을 더한 것이며 스캔(scan) 알고리즘으로 계산된다. S6는 한 행 또는 한 열의 시퀀스를 식 (2)의 이산화된 상태 공간 시스템으로 처리한다.</w:t>
      </w:r>
    </w:p>
    <w:p>
      <w:pPr>
        <w:pStyle w:val="af6"/>
        <w:tabs>
          <w:tab w:val="clear" w:pos="408"/>
          <w:tab w:val="clear" w:pos="686"/>
          <w:tab w:val="clear" w:pos="756"/>
          <w:tab w:val="center" w:pos="2131"/>
          <w:tab w:val="right" w:pos="4563"/>
        </w:tabs>
        <w:spacing w:before="100" w:after="160"/>
        <w:ind w:left="0" w:firstLine="0"/>
        <w:jc w:val="left"/>
      </w:pPr>
      <w:r>
        <w:tab/>
      </w:r>
      <m:oMath>
        <m:sSub>
          <m:e>
            <m:r>
              <m:t xml:space="preserve">h</m:t>
            </m:r>
          </m:e>
          <m:sub>
            <m:r>
              <m:t xml:space="preserve">t</m:t>
            </m:r>
          </m:sub>
        </m:sSub>
        <m:r>
          <m:t xml:space="preserve">=</m:t>
        </m:r>
        <m:r>
          <m:rPr>
            <m:sty m:val="p"/>
          </m:rPr>
          <m:t xml:space="preserve">exp(</m:t>
        </m:r>
        <m:sSub>
          <m:e>
            <m:r>
              <m:t xml:space="preserve">Δ</m:t>
            </m:r>
          </m:e>
          <m:sub>
            <m:r>
              <m:t xml:space="preserve">t</m:t>
            </m:r>
          </m:sub>
        </m:sSub>
        <m:r>
          <m:t xml:space="preserve">A) </m:t>
        </m:r>
        <m:sSub>
          <m:e>
            <m:r>
              <m:t xml:space="preserve">h</m:t>
            </m:r>
          </m:e>
          <m:sub>
            <m:r>
              <m:t xml:space="preserve">t−1</m:t>
            </m:r>
          </m:sub>
        </m:sSub>
        <m:r>
          <m:t xml:space="preserve">+</m:t>
        </m:r>
        <m:sSub>
          <m:e>
            <m:r>
              <m:t xml:space="preserve">Δ</m:t>
            </m:r>
          </m:e>
          <m:sub>
            <m:r>
              <m:t xml:space="preserve">t</m:t>
            </m:r>
          </m:sub>
        </m:sSub>
        <m:sSub>
          <m:e>
            <m:r>
              <m:t xml:space="preserve">B</m:t>
            </m:r>
          </m:e>
          <m:sub>
            <m:r>
              <m:t xml:space="preserve">t</m:t>
            </m:r>
          </m:sub>
        </m:sSub>
        <m:sSub>
          <m:e>
            <m:r>
              <m:t xml:space="preserve">x</m:t>
            </m:r>
          </m:e>
          <m:sub>
            <m:r>
              <m:t xml:space="preserve">t</m:t>
            </m:r>
          </m:sub>
        </m:sSub>
        <m:r>
          <m:t xml:space="preserve">, </m:t>
        </m:r>
        <m:sSub>
          <m:e>
            <m:r>
              <m:t xml:space="preserve">y</m:t>
            </m:r>
          </m:e>
          <m:sub>
            <m:r>
              <m:t xml:space="preserve">t</m:t>
            </m:r>
          </m:sub>
        </m:sSub>
        <m:r>
          <m:t xml:space="preserve">=</m:t>
        </m:r>
        <m:sSub>
          <m:e>
            <m:r>
              <m:t xml:space="preserve">C</m:t>
            </m:r>
          </m:e>
          <m:sub>
            <m:r>
              <m:t xml:space="preserve">t</m:t>
            </m:r>
          </m:sub>
        </m:sSub>
        <m:sSub>
          <m:e>
            <m:r>
              <m:t xml:space="preserve">h</m:t>
            </m:r>
          </m:e>
          <m:sub>
            <m:r>
              <m:t xml:space="preserve">t</m:t>
            </m:r>
          </m:sub>
        </m:sSub>
        <m:r>
          <m:t xml:space="preserve">+D</m:t>
        </m:r>
        <m:sSub>
          <m:e>
            <m:r>
              <m:t xml:space="preserve">x</m:t>
            </m:r>
          </m:e>
          <m:sub>
            <m:r>
              <m:t xml:space="preserve">t</m:t>
            </m:r>
          </m:sub>
        </m:sSub>
      </m:oMath>
      <w:r>
        <w:tab/>
        <w:t xml:space="preserve">(2)</w:t>
      </w:r>
    </w:p>
    <w:p>
      <w:pPr>
        <w:pStyle w:val="a4"/>
      </w:pPr>
      <w:r>
        <w:t xml:space="preserve">식 (2)에서 아래첨자 </w:t>
      </w:r>
      <m:oMath>
        <m:r>
          <m:t xml:space="preserve">t</m:t>
        </m:r>
      </m:oMath>
      <w:r>
        <w:t xml:space="preserve">는 스캔 방향을 따라 부여한 시퀀스 내 위치(</w:t>
      </w:r>
      <m:oMath>
        <m:r>
          <m:t xml:space="preserve">t=1,…,L</m:t>
        </m:r>
      </m:oMath>
      <w:r>
        <w:t xml:space="preserve">, 시퀀스 길이 </w:t>
      </w:r>
      <m:oMath>
        <m:r>
          <m:t xml:space="preserve">L=384</m:t>
        </m:r>
      </m:oMath>
      <w:r>
        <w:t xml:space="preserve">)를 의미한다. </w:t>
      </w:r>
      <m:oMath>
        <m:sSub>
          <m:e>
            <m:r>
              <m:t xml:space="preserve">x</m:t>
            </m:r>
          </m:e>
          <m:sub>
            <m:r>
              <m:t xml:space="preserve">t</m:t>
            </m:r>
          </m:sub>
        </m:sSub>
      </m:oMath>
      <w:r>
        <w:t xml:space="preserve">와 </w:t>
      </w:r>
      <m:oMath>
        <m:sSub>
          <m:e>
            <m:r>
              <m:t xml:space="preserve">y</m:t>
            </m:r>
          </m:e>
          <m:sub>
            <m:r>
              <m:t xml:space="preserve">t</m:t>
            </m:r>
          </m:sub>
        </m:sSub>
      </m:oMath>
      <w:r>
        <w:t xml:space="preserve">는 위치 </w:t>
      </w:r>
      <m:oMath>
        <m:r>
          <m:t xml:space="preserve">t</m:t>
        </m:r>
      </m:oMath>
      <w:r>
        <w:t xml:space="preserve">의 입력과 출력이고, </w:t>
      </w:r>
      <m:oMath>
        <m:sSub>
          <m:e>
            <m:r>
              <m:t xml:space="preserve">h</m:t>
            </m:r>
          </m:e>
          <m:sub>
            <m:r>
              <m:t xml:space="preserve">t</m:t>
            </m:r>
          </m:sub>
        </m:sSub>
      </m:oMath>
      <w:r>
        <w:t xml:space="preserve">와 </w:t>
      </w:r>
      <m:oMath>
        <m:sSub>
          <m:e>
            <m:r>
              <m:t xml:space="preserve">h</m:t>
            </m:r>
          </m:e>
          <m:sub>
            <m:r>
              <m:t xml:space="preserve">t−1</m:t>
            </m:r>
          </m:sub>
        </m:sSub>
      </m:oMath>
      <w:r>
        <w:t xml:space="preserve">은 각각 위치 </w:t>
      </w:r>
      <m:oMath>
        <m:r>
          <m:t xml:space="preserve">t</m:t>
        </m:r>
      </m:oMath>
      <w:r>
        <w:t xml:space="preserve">와 </w:t>
      </w:r>
      <m:oMath>
        <m:r>
          <m:t xml:space="preserve">t−1</m:t>
        </m:r>
      </m:oMath>
      <w:r>
        <w:t xml:space="preserve">까지의 입력을 요약한 </w:t>
      </w:r>
      <m:oMath>
        <m:r>
          <m:t xml:space="preserve">N</m:t>
        </m:r>
      </m:oMath>
      <w:r>
        <w:t xml:space="preserve">차원(</w:t>
      </w:r>
      <m:oMath>
        <m:r>
          <m:t xml:space="preserve">N=16</m:t>
        </m:r>
      </m:oMath>
      <w:r>
        <w:t xml:space="preserve">) 은닉 상태 벡터이다. </w:t>
      </w:r>
      <m:oMath>
        <m:r>
          <m:t xml:space="preserve">A</m:t>
        </m:r>
      </m:oMath>
      <w:r>
        <w:t xml:space="preserve">는 학습 가능한 </w:t>
      </w:r>
      <m:oMath>
        <m:r>
          <m:t xml:space="preserve">N×N</m:t>
        </m:r>
      </m:oMath>
      <w:r>
        <w:t xml:space="preserve"> 대각 상태 행렬이고, </w:t>
      </w:r>
      <m:oMath>
        <m:r>
          <m:rPr>
            <m:sty m:val="p"/>
          </m:rPr>
          <m:t xml:space="preserve">exp(</m:t>
        </m:r>
        <m:sSub>
          <m:e>
            <m:r>
              <m:t xml:space="preserve">Δ</m:t>
            </m:r>
          </m:e>
          <m:sub>
            <m:r>
              <m:t xml:space="preserve">t</m:t>
            </m:r>
          </m:sub>
        </m:sSub>
        <m:r>
          <m:t xml:space="preserve">A)</m:t>
        </m:r>
      </m:oMath>
      <w:r>
        <w:t xml:space="preserve">는 </w:t>
      </w:r>
      <m:oMath>
        <m:r>
          <m:t xml:space="preserve">A</m:t>
        </m:r>
      </m:oMath>
      <w:r>
        <w:t xml:space="preserve">를 간격 </w:t>
      </w:r>
      <m:oMath>
        <m:sSub>
          <m:e>
            <m:r>
              <m:t xml:space="preserve">Δ</m:t>
            </m:r>
          </m:e>
          <m:sub>
            <m:r>
              <m:t xml:space="preserve">t</m:t>
            </m:r>
          </m:sub>
        </m:sSub>
      </m:oMath>
      <w:r>
        <w:t xml:space="preserve">로 이산화한 상태 전이 행렬이다. </w:t>
      </w:r>
      <m:oMath>
        <m:sSub>
          <m:e>
            <m:r>
              <m:t xml:space="preserve">B</m:t>
            </m:r>
          </m:e>
          <m:sub>
            <m:r>
              <m:t xml:space="preserve">t</m:t>
            </m:r>
          </m:sub>
        </m:sSub>
      </m:oMath>
      <w:r>
        <w:t xml:space="preserve">와 </w:t>
      </w:r>
      <m:oMath>
        <m:sSub>
          <m:e>
            <m:r>
              <m:t xml:space="preserve">C</m:t>
            </m:r>
          </m:e>
          <m:sub>
            <m:r>
              <m:t xml:space="preserve">t</m:t>
            </m:r>
          </m:sub>
        </m:sSub>
      </m:oMath>
      <w:r>
        <w:t xml:space="preserve">는 각각 </w:t>
      </w:r>
      <m:oMath>
        <m:r>
          <m:t xml:space="preserve">N×1</m:t>
        </m:r>
      </m:oMath>
      <w:r>
        <w:t xml:space="preserve"> 입력 행렬과 </w:t>
      </w:r>
      <m:oMath>
        <m:r>
          <m:t xml:space="preserve">1×N</m:t>
        </m:r>
      </m:oMath>
      <w:r>
        <w:t xml:space="preserve"> 출력 행렬로, 입력을 은닉 상태에 반영하는 계수와 은닉 상태로부터 출력을 계산하는 계수이다. </w:t>
      </w:r>
      <m:oMath>
        <m:r>
          <m:t xml:space="preserve">D</m:t>
        </m:r>
      </m:oMath>
      <w:r>
        <w:t xml:space="preserve">는 입력 </w:t>
      </w:r>
      <m:oMath>
        <m:sSub>
          <m:e>
            <m:r>
              <m:t xml:space="preserve">x</m:t>
            </m:r>
          </m:e>
          <m:sub>
            <m:r>
              <m:t xml:space="preserve">t</m:t>
            </m:r>
          </m:sub>
        </m:sSub>
      </m:oMath>
      <w:r>
        <w:t xml:space="preserve">에 곱해져 출력에 직접 더해지는 skip 계수이다. 식 (2)는 128개 내부 채널 각각에 독립적으로 적용되므로, </w:t>
      </w:r>
      <m:oMath>
        <m:sSub>
          <m:e>
            <m:r>
              <m:t xml:space="preserve">x</m:t>
            </m:r>
          </m:e>
          <m:sub>
            <m:r>
              <m:t xml:space="preserve">t</m:t>
            </m:r>
          </m:sub>
        </m:sSub>
      </m:oMath>
      <w:r>
        <w:t xml:space="preserve">와 </w:t>
      </w:r>
      <m:oMath>
        <m:sSub>
          <m:e>
            <m:r>
              <m:t xml:space="preserve">y</m:t>
            </m:r>
          </m:e>
          <m:sub>
            <m:r>
              <m:t xml:space="preserve">t</m:t>
            </m:r>
          </m:sub>
        </m:sSub>
      </m:oMath>
      <w:r>
        <w:t xml:space="preserve">는 한 채널의 스칼라 값이고 </w:t>
      </w:r>
      <m:oMath>
        <m:r>
          <m:t xml:space="preserve">A</m:t>
        </m:r>
      </m:oMath>
      <w:r>
        <w:t xml:space="preserve">와 </w:t>
      </w:r>
      <m:oMath>
        <m:r>
          <m:t xml:space="preserve">D</m:t>
        </m:r>
      </m:oMath>
      <w:r>
        <w:t xml:space="preserve">는 채널마다 따로 학습된다. softplus 함수를 거친 채널별 양수 </w:t>
      </w:r>
      <m:oMath>
        <m:sSub>
          <m:e>
            <m:r>
              <m:t xml:space="preserve">Δ</m:t>
            </m:r>
          </m:e>
          <m:sub>
            <m:r>
              <m:t xml:space="preserve">t</m:t>
            </m:r>
          </m:sub>
        </m:sSub>
      </m:oMath>
      <w:r>
        <w:t xml:space="preserve">와 모든 채널에 공통인 </w:t>
      </w:r>
      <m:oMath>
        <m:sSub>
          <m:e>
            <m:r>
              <m:t xml:space="preserve">B</m:t>
            </m:r>
          </m:e>
          <m:sub>
            <m:r>
              <m:t xml:space="preserve">t</m:t>
            </m:r>
          </m:sub>
        </m:sSub>
      </m:oMath>
      <w:r>
        <w:t xml:space="preserve">, </w:t>
      </w:r>
      <m:oMath>
        <m:sSub>
          <m:e>
            <m:r>
              <m:t xml:space="preserve">C</m:t>
            </m:r>
          </m:e>
          <m:sub>
            <m:r>
              <m:t xml:space="preserve">t</m:t>
            </m:r>
          </m:sub>
        </m:sSub>
      </m:oMath>
      <w:r>
        <w:t xml:space="preserve">는 위치 </w:t>
      </w:r>
      <m:oMath>
        <m:r>
          <m:t xml:space="preserve">t</m:t>
        </m:r>
      </m:oMath>
      <w:r>
        <w:t xml:space="preserve">의 128채널 입력 벡터를 선형 층에 통과시켜 얻은 값이다.</w:t>
      </w:r>
    </w:p>
    <w:p>
      <w:pPr>
        <w:pStyle w:val="a4"/>
      </w:pPr>
      <w:r>
        <w:t xml:space="preserve">bi-GRU 모듈도 모든 스텝에 같은 가중치를 사용하지만, 한 스텝의 입력이 12,288(=32×384)차원 벡터이고 은닉 상태가 3,840(=10×384)차원이어서 가중치 행렬의 크기가 영상 한 변의 크기(384)의 제곱에 비례한다. 반면 SS2D 모듈은 한 k-space 위치를 한 스텝으로 처리하여 한 스텝의 입력이 128채널 벡터이고 은닉 상태가 채널마다 </w:t>
      </w:r>
      <m:oMath>
        <m:r>
          <m:t xml:space="preserve">N</m:t>
        </m:r>
      </m:oMath>
      <w:r>
        <w:t xml:space="preserve">(=16)차원이므로, 가중치 행렬의 크기가 영상 크기와 무관하고 파라미터 수가 0.12M이다. 또한 SS2D 모듈의 각 출력은 같은 행과 열 주변(폭 3의 십자 영역)의 입력에만 의존하므로, 이 모듈만으로는 2차원 역 푸리에 변환을 표현할 수 없다. SS2D(controlled)는 SS2D 모듈 하나만을 시퀀스 모듈로 구성한 모델(전체 파라미터 수 31.2M)이다. 본 연구에서는 모델별 하이퍼파라미터 조정을 수행하지 않았다.</w:t>
      </w:r>
    </w:p>
    <w:p>
      <w:pPr>
        <w:pStyle w:val="a3"/>
        <w:spacing w:before="60" w:after="60"/>
        <w:ind w:firstLine="0"/>
        <w:jc w:val="center"/>
      </w:pPr>
      <w:r>
        <w:drawing>
          <wp:inline distT="0" distB="0" distL="0" distR="0">
            <wp:extent cx="2897505" cy="1958975"/>
            <wp:effectExtent l="0" t="0" r="0" b="0"/>
            <wp:docPr id="102" name="Fig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97505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8"/>
      </w:pPr>
      <w:r>
        <w:t xml:space="preserve">Fig.</w:t>
      </w:r>
      <w:r>
        <w:tab/>
      </w:r>
      <w:r>
        <w:t xml:space="preserve">2.</w:t>
      </w:r>
      <w:r>
        <w:tab/>
      </w:r>
      <w:r>
        <w:t xml:space="preserve">Sequence modules </w:t>
      </w:r>
      <m:oMath>
        <m:sSub>
          <m:e>
            <m:r>
              <m:t xml:space="preserve">f</m:t>
            </m:r>
          </m:e>
          <m:sub>
            <m:r>
              <m:t xml:space="preserve">θ</m:t>
            </m:r>
          </m:sub>
        </m:sSub>
      </m:oMath>
      <w:r>
        <w:t xml:space="preserve">: (a) bi-GRU module of ETER-net, (b) SS2D module</w:t>
      </w:r>
    </w:p>
    <w:p>
      <w:pPr>
        <w:pStyle w:val="a6"/>
      </w:pPr>
      <w:r>
        <w:t xml:space="preserve">3. </w:t>
      </w:r>
      <w:r>
        <w:t xml:space="preserve">학습·평가 프로토콜</w:t>
      </w:r>
    </w:p>
    <w:p>
      <w:pPr>
        <w:pStyle w:val="a4"/>
      </w:pPr>
      <w:r>
        <w:t xml:space="preserve">학습에는 fastMRI brain multicoil 데이터셋</w:t>
      </w:r>
      <w:r>
        <w:rPr>
          <w:vertAlign w:val="superscript"/>
        </w:rPr>
        <w:t xml:space="preserve">[10]</w:t>
      </w:r>
      <w:r>
        <w:t xml:space="preserve">의 공식 학습 분할에서 확보한 4,110개 볼륨을 사용하였다. 공식 검증 분할 전체(1,378개 볼륨)는 학습 중 검증과 최적 체크포인트 선택에 사용하였다. 최종 평가는 참조 영상이 공개된 공식 시험 분할(test_full, 558개 볼륨, 슬라이스 8,852개)에서 수행하였으며, 세 분할 사이에 겹치는 볼륨은 없다. 데이터셋에는 축상면(axial) T1, 조영제 투여 전후 T1, T2, 액체감쇠역전회복(FLAIR) 영상이 혼합되어 있다(평가 볼륨의 약 58%가 축상면 T2 영상(AXT2)). </w:t>
      </w:r>
      <m:oMath>
        <m:sSub>
          <m:e>
            <m:r>
              <m:t xml:space="preserve">y</m:t>
            </m:r>
          </m:e>
          <m:sub>
            <m:r>
              <m:t xml:space="preserve">c</m:t>
            </m:r>
          </m:sub>
        </m:sSub>
      </m:oMath>
      <w:r>
        <w:t xml:space="preserve">는 완전 샘플링된 k-space를 코일별 영상으로 변환하여 384×384 크기로 크롭 및 패딩한 뒤 다시 k-space로 변환한 것이다. 코일은 처음 16개만 사용하고 부족한 채널은 0으로 채워 16개로 통일하였다. 모델에는 식 (1)의 </w:t>
      </w:r>
      <m:oMath>
        <m:sSub>
          <m:e>
            <m:acc>
              <m:accPr>
                <m:chr m:val="̃"/>
              </m:accPr>
              <m:e>
                <m:r>
                  <m:t xml:space="preserve">y</m:t>
                </m:r>
              </m:e>
            </m:acc>
          </m:e>
          <m:sub>
            <m:r>
              <m:t xml:space="preserve">c</m:t>
            </m:r>
          </m:sub>
        </m:sSub>
      </m:oMath>
      <w:r>
        <w:t xml:space="preserve"> 대신 식 (3)의 슬라이스별 정규화 계수 </w:t>
      </w:r>
      <m:oMath>
        <m:r>
          <m:t xml:space="preserve">s</m:t>
        </m:r>
      </m:oMath>
      <w:r>
        <w:t xml:space="preserve">로 나눈 </w:t>
      </w:r>
      <m:oMath>
        <m:sSub>
          <m:e>
            <m:acc>
              <m:accPr>
                <m:chr m:val="̃"/>
              </m:accPr>
              <m:e>
                <m:r>
                  <m:t xml:space="preserve">y</m:t>
                </m:r>
              </m:e>
            </m:acc>
          </m:e>
          <m:sub>
            <m:r>
              <m:t xml:space="preserve">c</m:t>
            </m:r>
          </m:sub>
        </m:sSub>
        <m:r>
          <m:t xml:space="preserve">/s</m:t>
        </m:r>
      </m:oMath>
      <w:r>
        <w:t xml:space="preserve">를 입력하고, 출력에 </w:t>
      </w:r>
      <m:oMath>
        <m:r>
          <m:t xml:space="preserve">s</m:t>
        </m:r>
      </m:oMath>
      <w:r>
        <w:t xml:space="preserve">를 곱한 값을 복원 영상 </w:t>
      </w:r>
      <m:oMath>
        <m:acc>
          <m:accPr>
            <m:chr m:val="̂"/>
          </m:accPr>
          <m:e>
            <m:r>
              <m:t xml:space="preserve">x</m:t>
            </m:r>
          </m:e>
        </m:acc>
      </m:oMath>
      <w:r>
        <w:t xml:space="preserve">으로 하여 원래 세기에서 평가하였다. 등간격 샘플링 라인의 시작 위치(mask offset)는 학습 시에만 샘플마다 무작위로 정하였다. 학습 시에는 영상을 상하·좌우로 무작위 반전하여 데이터를 증강하였다. 배경 영역의 영향을 줄이기 위해 슬라이스마다 참조 영상 </w:t>
      </w:r>
      <m:oMath>
        <m:sSup>
          <m:e>
            <m:r>
              <m:t xml:space="preserve">x</m:t>
            </m:r>
          </m:e>
          <m:sup>
            <m:r>
              <m:t xml:space="preserve">∗</m:t>
            </m:r>
          </m:sup>
        </m:sSup>
      </m:oMath>
      <w:r>
        <w:t xml:space="preserve">의 0이 아닌 화소에서 Otsu 임곗값 </w:t>
      </w:r>
      <m:oMath>
        <m:r>
          <m:t xml:space="preserve">T</m:t>
        </m:r>
      </m:oMath>
      <w:r>
        <w:rPr>
          <w:vertAlign w:val="superscript"/>
        </w:rPr>
        <w:t xml:space="preserve">[11]</w:t>
      </w:r>
      <w:r>
        <w:t xml:space="preserve">를 구하고, </w:t>
      </w:r>
      <m:oMath>
        <m:sSup>
          <m:e>
            <m:r>
              <m:t xml:space="preserve">x</m:t>
            </m:r>
          </m:e>
          <m:sup>
            <m:r>
              <m:t xml:space="preserve">∗</m:t>
            </m:r>
          </m:sup>
        </m:sSup>
        <m:r>
          <m:t xml:space="preserve">&gt;0.4T</m:t>
        </m:r>
      </m:oMath>
      <w:r>
        <w:t xml:space="preserve">인 화소들의 연결 성분 중 가장 큰 것을 brain mask </w:t>
      </w:r>
      <m:oMath>
        <m:r>
          <m:t xml:space="preserve">m</m:t>
        </m:r>
      </m:oMath>
      <w:r>
        <w:t xml:space="preserve">으로 정의하였다. </w:t>
      </w:r>
      <m:oMath>
        <m:r>
          <m:t xml:space="preserve">T</m:t>
        </m:r>
      </m:oMath>
      <w:r>
        <w:t xml:space="preserve">는 화소를 두 집단으로 나누었을 때 집단 간 분산을 최대로 하는 임곗값이다. 학습 시 역전파에 사용한 손실 함수(식 (4))와 세 평가 지표인 structural similarity index(SSIM), peak signal-to-noise ratio(PSNR), normalized mean squared error(nMSE)는 모두 이 마스크 내부에서만 계산하였다. 평가 SSIM은 scikit-image로 구한 SSIM 지도의 마스크 내부 평균이고, 동적 범위(data range)는 마스크 내부 </w:t>
      </w:r>
      <m:oMath>
        <m:sSup>
          <m:e>
            <m:r>
              <m:t xml:space="preserve">x</m:t>
            </m:r>
          </m:e>
          <m:sup>
            <m:r>
              <m:t xml:space="preserve">∗</m:t>
            </m:r>
          </m:sup>
        </m:sSup>
      </m:oMath>
      <w:r>
        <w:t xml:space="preserve">의 최댓값과 최솟값의 차이이며, PSNR의 최대 신호 값(peak)과 nMSE의 분모도 마스크 내부의 </w:t>
      </w:r>
      <m:oMath>
        <m:sSup>
          <m:e>
            <m:r>
              <m:t xml:space="preserve">x</m:t>
            </m:r>
          </m:e>
          <m:sup>
            <m:r>
              <m:t xml:space="preserve">∗</m:t>
            </m:r>
          </m:sup>
        </m:sSup>
      </m:oMath>
      <w:r>
        <w:t xml:space="preserve">로 구하였다.</w:t>
      </w:r>
    </w:p>
    <w:p>
      <w:pPr>
        <w:pStyle w:val="af6"/>
        <w:tabs>
          <w:tab w:val="clear" w:pos="408"/>
          <w:tab w:val="clear" w:pos="686"/>
          <w:tab w:val="clear" w:pos="756"/>
          <w:tab w:val="center" w:pos="2131"/>
          <w:tab w:val="right" w:pos="4563"/>
        </w:tabs>
        <w:spacing w:before="100" w:after="160"/>
        <w:ind w:left="0" w:firstLine="0"/>
        <w:jc w:val="left"/>
      </w:pPr>
      <w:r>
        <w:tab/>
      </w:r>
      <m:oMath>
        <m:r>
          <m:t xml:space="preserve">s=</m:t>
        </m:r>
        <m:sSub>
          <m:e>
            <m:r>
              <m:rPr>
                <m:sty m:val="p"/>
              </m:rPr>
              <m:t xml:space="preserve">P</m:t>
            </m:r>
          </m:e>
          <m:sub>
            <m:r>
              <m:t xml:space="preserve">99</m:t>
            </m:r>
          </m:sub>
        </m:sSub>
        <m:d>
          <m:dPr/>
          <m:e>
            <m:rad>
              <m:radPr>
                <m:degHide m:val="1"/>
              </m:radPr>
              <m:deg/>
              <m:e>
                <m:nary>
                  <m:naryPr>
                    <m:chr m:val="∑"/>
                    <m:limLoc m:val="undOvr"/>
                    <m:supHide m:val="1"/>
                  </m:naryPr>
                  <m:sub>
                    <m:r>
                      <m:t xml:space="preserve">c</m:t>
                    </m:r>
                  </m:sub>
                  <m:sup/>
                  <m:e/>
                </m:nary>
                <m:sSup>
                  <m:e>
                    <m:d>
                      <m:dPr>
                        <m:begChr m:val="|"/>
                        <m:endChr m:val="|"/>
                      </m:dPr>
                      <m:e>
                        <m:sSup>
                          <m:e>
                            <m:r>
                              <m:rPr>
                                <m:scr m:val="script"/>
                              </m:rPr>
                              <m:t>F</m:t>
                            </m:r>
                          </m:e>
                          <m:sup>
                            <m:r>
                              <m:t xml:space="preserve">−1</m:t>
                            </m:r>
                          </m:sup>
                        </m:sSup>
                        <m:r>
                          <m:t xml:space="preserve">{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 xml:space="preserve">y</m:t>
                                </m:r>
                              </m:e>
                            </m:acc>
                          </m:e>
                          <m:sub>
                            <m:r>
                              <m:t xml:space="preserve">c</m:t>
                            </m:r>
                          </m:sub>
                        </m:sSub>
                        <m:r>
                          <m:t xml:space="preserve">}</m:t>
                        </m:r>
                      </m:e>
                    </m:d>
                  </m:e>
                  <m:sup>
                    <m:r>
                      <m:t xml:space="preserve">2</m:t>
                    </m:r>
                  </m:sup>
                </m:sSup>
              </m:e>
            </m:rad>
          </m:e>
        </m:d>
      </m:oMath>
      <w:r>
        <w:tab/>
        <w:t xml:space="preserve">(3)</w:t>
      </w:r>
    </w:p>
    <w:p>
      <w:pPr>
        <w:pStyle w:val="af6"/>
        <w:tabs>
          <w:tab w:val="clear" w:pos="408"/>
          <w:tab w:val="clear" w:pos="686"/>
          <w:tab w:val="clear" w:pos="756"/>
          <w:tab w:val="center" w:pos="2131"/>
          <w:tab w:val="right" w:pos="4563"/>
        </w:tabs>
        <w:spacing w:before="100" w:after="160"/>
        <w:ind w:left="0" w:firstLine="0"/>
        <w:jc w:val="left"/>
      </w:pPr>
      <w:r>
        <w:tab/>
      </w:r>
      <m:oMath>
        <m:r>
          <m:rPr>
            <m:scr m:val="script"/>
          </m:rPr>
          <m:t>L=</m:t>
        </m:r>
        <m:f>
          <m:num>
            <m:nary>
              <m:naryPr>
                <m:chr m:val="∑"/>
                <m:limLoc m:val="undOvr"/>
                <m:supHide m:val="1"/>
              </m:naryPr>
              <m:sub>
                <m:r>
                  <m:t xml:space="preserve">i</m:t>
                </m:r>
              </m:sub>
              <m:sup/>
              <m:e/>
            </m:nary>
            <m:sSub>
              <m:e>
                <m:r>
                  <m:t xml:space="preserve">m</m:t>
                </m:r>
              </m:e>
              <m:sub>
                <m:r>
                  <m:t xml:space="preserve">i</m:t>
                </m:r>
              </m:sub>
            </m:sSub>
            <m:d>
              <m:dPr>
                <m:begChr m:val="|"/>
                <m:endChr m:val="|"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 xml:space="preserve">x</m:t>
                        </m:r>
                      </m:e>
                    </m:acc>
                  </m:e>
                  <m:sub>
                    <m:r>
                      <m:t xml:space="preserve">i</m:t>
                    </m:r>
                  </m:sub>
                </m:sSub>
                <m:r>
                  <m:t xml:space="preserve">/s−</m:t>
                </m:r>
                <m:sSubSup>
                  <m:e>
                    <m:r>
                      <m:t xml:space="preserve">x</m:t>
                    </m:r>
                  </m:e>
                  <m:sub>
                    <m:r>
                      <m:t xml:space="preserve">i</m:t>
                    </m:r>
                  </m:sub>
                  <m:sup>
                    <m:r>
                      <m:t xml:space="preserve">∗</m:t>
                    </m:r>
                  </m:sup>
                </m:sSubSup>
                <m:r>
                  <m:t xml:space="preserve">/s</m:t>
                </m:r>
              </m:e>
            </m:d>
          </m:num>
          <m:den>
            <m:nary>
              <m:naryPr>
                <m:chr m:val="∑"/>
                <m:limLoc m:val="undOvr"/>
                <m:supHide m:val="1"/>
              </m:naryPr>
              <m:sub>
                <m:r>
                  <m:t xml:space="preserve">i</m:t>
                </m:r>
              </m:sub>
              <m:sup/>
              <m:e/>
            </m:nary>
            <m:sSub>
              <m:e>
                <m:r>
                  <m:t xml:space="preserve">m</m:t>
                </m:r>
              </m:e>
              <m:sub>
                <m:r>
                  <m:t xml:space="preserve">i</m:t>
                </m:r>
              </m:sub>
            </m:sSub>
          </m:den>
        </m:f>
        <m:r>
          <m:t xml:space="preserve">+λ</m:t>
        </m:r>
        <m:d>
          <m:dPr/>
          <m:e>
            <m:r>
              <m:t xml:space="preserve">1−</m:t>
            </m:r>
            <m:sSub>
              <m:e>
                <m:r>
                  <m:rPr>
                    <m:sty m:val="p"/>
                  </m:rPr>
                  <m:t xml:space="preserve">SSIM</m:t>
                </m:r>
              </m:e>
              <m:sub>
                <m:r>
                  <m:t xml:space="preserve">m</m:t>
                </m:r>
              </m:sub>
            </m:sSub>
            <m:r>
              <m:t xml:space="preserve">(</m:t>
            </m:r>
            <m:acc>
              <m:accPr>
                <m:chr m:val="̂"/>
              </m:accPr>
              <m:e>
                <m:r>
                  <m:t xml:space="preserve">x</m:t>
                </m:r>
              </m:e>
            </m:acc>
            <m:r>
              <m:t xml:space="preserve">/s,</m:t>
            </m:r>
            <m:sSup>
              <m:e>
                <m:r>
                  <m:t xml:space="preserve">x</m:t>
                </m:r>
              </m:e>
              <m:sup>
                <m:r>
                  <m:t xml:space="preserve">∗</m:t>
                </m:r>
              </m:sup>
            </m:sSup>
            <m:r>
              <m:t xml:space="preserve">/s)</m:t>
            </m:r>
          </m:e>
        </m:d>
      </m:oMath>
      <w:r>
        <w:tab/>
        <w:t xml:space="preserve">(4)</w:t>
      </w:r>
    </w:p>
    <w:p>
      <w:pPr>
        <w:pStyle w:val="a4"/>
      </w:pPr>
      <w:r>
        <w:t xml:space="preserve">식 (3)의 </w:t>
      </w:r>
      <m:oMath>
        <m:r>
          <m:t xml:space="preserve">s</m:t>
        </m:r>
      </m:oMath>
      <w:r>
        <w:t xml:space="preserve">는 zero-filled RSS 영상의 384×384 화소 값에 대한 99 백분위수(</w:t>
      </w:r>
      <m:oMath>
        <m:sSub>
          <m:e>
            <m:r>
              <m:rPr>
                <m:sty m:val="p"/>
              </m:rPr>
              <m:t xml:space="preserve">P</m:t>
            </m:r>
          </m:e>
          <m:sub>
            <m:r>
              <m:t xml:space="preserve">99</m:t>
            </m:r>
          </m:sub>
        </m:sSub>
      </m:oMath>
      <w:r>
        <w:t xml:space="preserve">)이다. 식 (4)에서 </w:t>
      </w:r>
      <m:oMath>
        <m:r>
          <m:rPr>
            <m:scr m:val="script"/>
          </m:rPr>
          <m:t>L</m:t>
        </m:r>
      </m:oMath>
      <w:r>
        <w:t xml:space="preserve">은 손실 함수, </w:t>
      </w:r>
      <m:oMath>
        <m:r>
          <m:t xml:space="preserve">i</m:t>
        </m:r>
      </m:oMath>
      <w:r>
        <w:t xml:space="preserve">는 화소 인덱스, </w:t>
      </w:r>
      <m:oMath>
        <m:nary>
          <m:naryPr>
            <m:chr m:val="∑"/>
            <m:limLoc m:val="undOvr"/>
            <m:supHide m:val="1"/>
          </m:naryPr>
          <m:sub>
            <m:r>
              <m:t xml:space="preserve">i</m:t>
            </m:r>
          </m:sub>
          <m:sup/>
          <m:e/>
        </m:nary>
      </m:oMath>
      <w:r>
        <w:t xml:space="preserve">는 모든 화소에 대한 합이다. </w:t>
      </w:r>
      <m:oMath>
        <m:sSub>
          <m:e>
            <m:r>
              <m:t xml:space="preserve">m</m:t>
            </m:r>
          </m:e>
          <m:sub>
            <m:r>
              <m:t xml:space="preserve">i</m:t>
            </m:r>
          </m:sub>
        </m:sSub>
      </m:oMath>
      <w:r>
        <w:t xml:space="preserve">는 화소 </w:t>
      </w:r>
      <m:oMath>
        <m:r>
          <m:t xml:space="preserve">i</m:t>
        </m:r>
      </m:oMath>
      <w:r>
        <w:t xml:space="preserve">가 brain mask </w:t>
      </w:r>
      <m:oMath>
        <m:r>
          <m:t xml:space="preserve">m</m:t>
        </m:r>
      </m:oMath>
      <w:r>
        <w:t xml:space="preserve"> 내부이면 1, 외부이면 0이고, </w:t>
      </w:r>
      <m:oMath>
        <m:sSubSup>
          <m:e>
            <m:r>
              <m:t xml:space="preserve">x</m:t>
            </m:r>
          </m:e>
          <m:sub>
            <m:r>
              <m:t xml:space="preserve">i</m:t>
            </m:r>
          </m:sub>
          <m:sup>
            <m:r>
              <m:t xml:space="preserve">∗</m:t>
            </m:r>
          </m:sup>
        </m:sSubSup>
      </m:oMath>
      <w:r>
        <w:t xml:space="preserve">와 </w:t>
      </w:r>
      <m:oMath>
        <m:sSub>
          <m:e>
            <m:acc>
              <m:accPr>
                <m:chr m:val="̂"/>
              </m:accPr>
              <m:e>
                <m:r>
                  <m:t xml:space="preserve">x</m:t>
                </m:r>
              </m:e>
            </m:acc>
          </m:e>
          <m:sub>
            <m:r>
              <m:t xml:space="preserve">i</m:t>
            </m:r>
          </m:sub>
        </m:sSub>
      </m:oMath>
      <w:r>
        <w:t xml:space="preserve">는 각각 화소 </w:t>
      </w:r>
      <m:oMath>
        <m:r>
          <m:t xml:space="preserve">i</m:t>
        </m:r>
      </m:oMath>
      <w:r>
        <w:t xml:space="preserve">에서의 참조 영상 </w:t>
      </w:r>
      <m:oMath>
        <m:sSup>
          <m:e>
            <m:r>
              <m:t xml:space="preserve">x</m:t>
            </m:r>
          </m:e>
          <m:sup>
            <m:r>
              <m:t xml:space="preserve">∗</m:t>
            </m:r>
          </m:sup>
        </m:sSup>
      </m:oMath>
      <w:r>
        <w:t xml:space="preserve">와 복원 영상 </w:t>
      </w:r>
      <m:oMath>
        <m:acc>
          <m:accPr>
            <m:chr m:val="̂"/>
          </m:accPr>
          <m:e>
            <m:r>
              <m:t xml:space="preserve">x</m:t>
            </m:r>
          </m:e>
        </m:acc>
      </m:oMath>
      <w:r>
        <w:t xml:space="preserve">의 값이다. </w:t>
      </w:r>
      <m:oMath>
        <m:sSub>
          <m:e>
            <m:r>
              <m:rPr>
                <m:sty m:val="p"/>
              </m:rPr>
              <m:t xml:space="preserve">SSIM</m:t>
            </m:r>
          </m:e>
          <m:sub>
            <m:r>
              <m:t xml:space="preserve">m</m:t>
            </m:r>
          </m:sub>
        </m:sSub>
        <m:r>
          <m:t xml:space="preserve">(</m:t>
        </m:r>
        <m:acc>
          <m:accPr>
            <m:chr m:val="̂"/>
          </m:accPr>
          <m:e>
            <m:r>
              <m:t xml:space="preserve">x</m:t>
            </m:r>
          </m:e>
        </m:acc>
        <m:r>
          <m:t xml:space="preserve">/s,</m:t>
        </m:r>
        <m:sSup>
          <m:e>
            <m:r>
              <m:t xml:space="preserve">x</m:t>
            </m:r>
          </m:e>
          <m:sup>
            <m:r>
              <m:t xml:space="preserve">∗</m:t>
            </m:r>
          </m:sup>
        </m:sSup>
        <m:r>
          <m:t xml:space="preserve">/s)</m:t>
        </m:r>
      </m:oMath>
      <w:r>
        <w:t xml:space="preserve">는 </w:t>
      </w:r>
      <m:oMath>
        <m:acc>
          <m:accPr>
            <m:chr m:val="̂"/>
          </m:accPr>
          <m:e>
            <m:r>
              <m:t xml:space="preserve">x</m:t>
            </m:r>
          </m:e>
        </m:acc>
        <m:r>
          <m:t xml:space="preserve">/s</m:t>
        </m:r>
      </m:oMath>
      <w:r>
        <w:t xml:space="preserve">와 </w:t>
      </w:r>
      <m:oMath>
        <m:sSup>
          <m:e>
            <m:r>
              <m:t xml:space="preserve">x</m:t>
            </m:r>
          </m:e>
          <m:sup>
            <m:r>
              <m:t xml:space="preserve">∗</m:t>
            </m:r>
          </m:sup>
        </m:sSup>
        <m:r>
          <m:t xml:space="preserve">/s</m:t>
        </m:r>
      </m:oMath>
      <w:r>
        <w:t xml:space="preserve">의 SSIM 지도를 마스크 </w:t>
      </w:r>
      <m:oMath>
        <m:r>
          <m:t xml:space="preserve">m</m:t>
        </m:r>
      </m:oMath>
      <w:r>
        <w:t xml:space="preserve"> 내부에서 평균한 값이다. SSIM 항의 가중치 </w:t>
      </w:r>
      <m:oMath>
        <m:r>
          <m:t xml:space="preserve">λ</m:t>
        </m:r>
      </m:oMath>
      <w:r>
        <w:t xml:space="preserve">는 원래 세기에서의 가중치 </w:t>
      </w:r>
      <m:oMath>
        <m:r>
          <m:t xml:space="preserve">1</m:t>
        </m:r>
        <m:sSup>
          <m:e>
            <m:r>
              <m:t xml:space="preserve">0</m:t>
            </m:r>
          </m:e>
          <m:sup>
            <m:r>
              <m:t xml:space="preserve">−6</m:t>
            </m:r>
          </m:sup>
        </m:sSup>
      </m:oMath>
      <w:r>
        <w:t xml:space="preserve">을 학습 슬라이스 64개의 </w:t>
      </w:r>
      <m:oMath>
        <m:r>
          <m:t xml:space="preserve">s</m:t>
        </m:r>
      </m:oMath>
      <w:r>
        <w:t xml:space="preserve"> 평균 </w:t>
      </w:r>
      <m:oMath>
        <m:bar>
          <m:barPr>
            <m:pos m:val="top"/>
          </m:barPr>
          <m:e>
            <m:r>
              <m:t xml:space="preserve">s</m:t>
            </m:r>
          </m:e>
        </m:bar>
      </m:oMath>
      <w:r>
        <w:t xml:space="preserve">로 나눈 값(약 </w:t>
      </w:r>
      <m:oMath>
        <m:r>
          <m:t xml:space="preserve">3.1×1</m:t>
        </m:r>
        <m:sSup>
          <m:e>
            <m:r>
              <m:t xml:space="preserve">0</m:t>
            </m:r>
          </m:e>
          <m:sup>
            <m:r>
              <m:t xml:space="preserve">−3</m:t>
            </m:r>
          </m:sup>
        </m:sSup>
      </m:oMath>
      <w:r>
        <w:t xml:space="preserve">)이며, 학습 종료 시 첫째 항은 둘째 항의 약 66배였다. 최적화에는 분리형(decoupled) weight decay를 적용한 AdamW를 사용하였으나, 설정값 </w:t>
      </w:r>
      <m:oMath>
        <m:r>
          <m:t xml:space="preserve">3×1</m:t>
        </m:r>
        <m:sSup>
          <m:e>
            <m:r>
              <m:t xml:space="preserve">0</m:t>
            </m:r>
          </m:e>
          <m:sup>
            <m:r>
              <m:t xml:space="preserve">−5</m:t>
            </m:r>
          </m:sup>
        </m:sSup>
      </m:oMath>
      <w:r>
        <w:t xml:space="preserve">의 감쇠는 단정밀도 가중치를 바꾸지 못할 만큼 작아 실효적으로 적용되지 않았다. 학습률은 코사인 어닐링 방식으로 </w:t>
      </w:r>
      <m:oMath>
        <m:r>
          <m:t xml:space="preserve">2×1</m:t>
        </m:r>
        <m:sSup>
          <m:e>
            <m:r>
              <m:t xml:space="preserve">0</m:t>
            </m:r>
          </m:e>
          <m:sup>
            <m:r>
              <m:t xml:space="preserve">−4</m:t>
            </m:r>
          </m:sup>
        </m:sSup>
      </m:oMath>
      <w:r>
        <w:t xml:space="preserve">에서 </w:t>
      </w:r>
      <m:oMath>
        <m:r>
          <m:t xml:space="preserve">1×1</m:t>
        </m:r>
        <m:sSup>
          <m:e>
            <m:r>
              <m:t xml:space="preserve">0</m:t>
            </m:r>
          </m:e>
          <m:sup>
            <m:r>
              <m:t xml:space="preserve">−6</m:t>
            </m:r>
          </m:sup>
        </m:sSup>
      </m:oMath>
      <w:r>
        <w:t xml:space="preserve">까지 감소하였고, 배치 크기는 8이다. 계산은 16비트 부동소수점(fp16) 자동 혼합 정밀도로 수행하고 기울기가 유한하지 않은 step은 건너뛰었으나, ETER-net의 가로 방향(1단계) GRU는 32비트 부동소수점(fp32)으로 계산하였고, ETER-net에는 그러한 step에 대한 보호 장치(재계산과 손실 배율 하한)를 더하였다. 세 모델은 모두 난수 시드를 1로 고정하여 같은 순서의 학습 데이터와 같은 U-Net 초깃값으로 50 epochs 동안 한 번씩 처음부터 학습하였고, 2 epoch마다 검증하여 검증 집합의 SSIM이 가장 높은 체크포인트를 최종 평가에 사용하였다. 이 공통 학습 설정은 원 ETER-net 구현과 학습 데이터(혼합 대조도 4,110개 볼륨 대 AXT2 300개 볼륨), 세기 정규화(슬라이스별 정규화 대 고정 배율), 마스크(무작위 시작 위치와 ACS 31줄 대 고정 시작 위치와 32줄), 증강, 손실 함수, 최적화 방법, 계산 정밀도, GRU 은닉 크기 배수 </w:t>
      </w:r>
      <m:oMath>
        <m:r>
          <m:t xml:space="preserve">H</m:t>
        </m:r>
      </m:oMath>
      <w:r>
        <w:t xml:space="preserve">(본 연구 10, 공개 구현 12)에서 다르다. 각 지표는 슬라이스별로 계산하여 볼륨마다 평균한 뒤, 평가 볼륨 558개에 대한 평균과 표준편차로 나타내었다. 또한 같은 볼륨에 대한 두 모델의 지표를 짝지어 대응(paired) 비교하고, 상대 모델보다 우수한 볼륨의 비율(우위 비율)을 지표별로 구하였다. 유의성은 볼륨 단위 양측 Wilcoxon signed-rank 검정으로 평가하였다.</w:t>
      </w:r>
    </w:p>
    <w:p>
      <w:pPr>
        <w:pStyle w:val="a5"/>
      </w:pPr>
      <w:r>
        <w:rPr>
          <w:rFonts w:ascii="바탕"/>
        </w:rPr>
        <w:t xml:space="preserve">Ⅲ</w:t>
      </w:r>
      <w:r>
        <w:t xml:space="preserve">. </w:t>
      </w:r>
      <w:r>
        <w:t xml:space="preserve">실험 결과</w:t>
      </w:r>
    </w:p>
    <w:p>
      <w:pPr>
        <w:pStyle w:val="a6"/>
      </w:pPr>
      <w:r>
        <w:t xml:space="preserve">1. </w:t>
      </w:r>
      <w:r>
        <w:t xml:space="preserve">정량 평가</w:t>
      </w:r>
    </w:p>
    <w:p>
      <w:pPr>
        <w:pStyle w:val="a4"/>
      </w:pPr>
      <w:r>
        <w:t xml:space="preserve">표 1은 각 모델의 최적 체크포인트를 test_full 분할에 적용한 결과이다. U-Net only와 SS2D(controlled)의 SSIM과 PSNR은 기준 모델인 ETER-net보다 각각 0.0022와 0.23 dB, 0.0008과 0.10 dB 높았고(SSIM 우위 비율 99.6%, 81.2%), nMSE는 두 모델 모두 ETER-net보다 낮았다(모든 비교에서 </w:t>
      </w:r>
      <m:oMath>
        <m:r>
          <m:t xml:space="preserve">p&lt;0.001</m:t>
        </m:r>
      </m:oMath>
      <w:r>
        <w:t xml:space="preserve">). 그러나 마스크 없이 참조 볼륨의 최댓값을 동적 범위로 쓰는 fastMRI 공식 평가 정의</w:t>
      </w:r>
      <w:r>
        <w:rPr>
          <w:vertAlign w:val="superscript"/>
        </w:rPr>
        <w:t xml:space="preserve">[10]</w:t>
      </w:r>
      <w:r>
        <w:t xml:space="preserve">의 SSIM은 U-Net only 0.8965, ETER-net 0.8652, SS2D(controlled) 0.8389로, SS2D(controlled)가 ETER-net보다 0.0262 낮았다(우위 비율 14.3%, </w:t>
      </w:r>
      <m:oMath>
        <m:r>
          <m:t xml:space="preserve">p&lt;0.001</m:t>
        </m:r>
      </m:oMath>
      <w:r>
        <w:t xml:space="preserve">). 같은 정의의 SSIM 지도를 평균하면 brain mask 내부에서는 SS2D(controlled)가 0.0005 높았고, 학습 손실에 포함되지 않은 마스크 외부에서는 0.0398 낮았다.</w:t>
      </w:r>
    </w:p>
    <w:p>
      <w:pPr>
        <w:pStyle w:val="a4"/>
      </w:pPr>
      <w:r>
        <w:t xml:space="preserve">SS2D(controlled)의 표 1 SSIM은 시퀀스 모듈이 없는 U-Net only보다 0.0014 낮았고(SS2D(controlled)가 우수한 볼륨 558개 중 12개, </w:t>
      </w:r>
      <m:oMath>
        <m:r>
          <m:t xml:space="preserve">p&lt;0.001</m:t>
        </m:r>
      </m:oMath>
      <w:r>
        <w:t xml:space="preserve">), SS2D 모듈 출력의 제곱평균제곱근은 0.0057이었으며, 시험 슬라이스 512개에서 이 출력을 다른 볼륨의 출력으로 바꾸었을 때 SSIM 하락은 평균 0.00047이었다. 따라서 본 연구는 SS2D(controlled)와 ETER-net의 차이를 상태공간 모델링의 효과로 해석하지 않는다. 또한 마지막 epoch의 학습 손실은 ETER-net과 SS2D(controlled)가 U-Net only보다 각각 2.0%, 1.6% 높아, 시퀀스 모듈을 포함한 모델의 결과에는 최적화 차이(ETER-net은 계산 정밀도와 보호 장치의 차이 포함)가 반영되었을 수 있다. 각 모델을 한 번씩만 학습하였으므로 위 검정은 평가 볼륨 간 변동만 반영하고 학습 회차 간 변동은 반영하지 않는다.</w:t>
      </w:r>
    </w:p>
    <w:p>
      <w:pPr>
        <w:pStyle w:val="a8"/>
        <w:tabs>
          <w:tab w:val="left" w:pos="466"/>
        </w:tabs>
      </w:pPr>
      <w:r>
        <w:t xml:space="preserve">Table</w:t>
      </w:r>
      <w:r>
        <w:tab/>
      </w:r>
      <w:r>
        <w:t xml:space="preserve">1.  </w:t>
      </w:r>
      <w:r>
        <w:t xml:space="preserve">Volume-level results (mean ± standard deviation) on the fastMRI brain test_full split (558 volumes, R=4, brain-masked)</w:t>
      </w:r>
    </w:p>
    <w:tbl>
      <w:tblPr>
        <w:tblOverlap w:val="never"/>
        <w:tblW w:w="4535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25"/>
        <w:gridCol w:w="1340"/>
        <w:gridCol w:w="1035"/>
        <w:gridCol w:w="1135"/>
      </w:tblGrid>
      <w:tr>
        <w:trPr>
          <w:trHeight w:val="262"/>
          <w:tblHeader/>
        </w:trPr>
        <w:tc>
          <w:tcPr>
            <w:tcW w:w="10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after="0" w:line="240" w:lineRule="auto"/>
              <w:ind w:firstLine="0"/>
              <w:jc w:val="center"/>
            </w:pPr>
            <w:r>
              <w:rPr>
                <w:b/>
                <w:sz w:val="16"/>
                <w:szCs w:val="16"/>
              </w:rPr>
              <w:t xml:space="preserve">Model</w:t>
            </w:r>
          </w:p>
        </w:tc>
        <w:tc>
          <w:tcPr>
            <w:tcW w:w="13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after="0" w:line="240" w:lineRule="auto"/>
              <w:ind w:firstLine="0"/>
              <w:jc w:val="center"/>
            </w:pPr>
            <w:r>
              <w:rPr>
                <w:b/>
                <w:sz w:val="16"/>
                <w:szCs w:val="16"/>
              </w:rPr>
              <w:t xml:space="preserve">SSIM</w:t>
            </w:r>
          </w:p>
        </w:tc>
        <w:tc>
          <w:tcPr>
            <w:tcW w:w="10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after="0" w:line="240" w:lineRule="auto"/>
              <w:ind w:firstLine="0"/>
              <w:jc w:val="center"/>
            </w:pPr>
            <w:r>
              <w:rPr>
                <w:b/>
                <w:sz w:val="16"/>
                <w:szCs w:val="16"/>
              </w:rPr>
              <w:t xml:space="preserve">PSNR (dB)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after="0" w:line="240" w:lineRule="auto"/>
              <w:ind w:firstLine="0"/>
              <w:jc w:val="center"/>
            </w:pPr>
            <w:r>
              <w:rPr>
                <w:b/>
                <w:sz w:val="16"/>
                <w:szCs w:val="16"/>
              </w:rPr>
              <w:t xml:space="preserve">nMSE (%)</w:t>
            </w:r>
          </w:p>
        </w:tc>
      </w:tr>
      <w:tr>
        <w:trPr>
          <w:trHeight w:val="262"/>
        </w:trPr>
        <w:tc>
          <w:tcPr>
            <w:tcW w:w="10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after="0" w:line="240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U-Net only</w:t>
            </w:r>
          </w:p>
        </w:tc>
        <w:tc>
          <w:tcPr>
            <w:tcW w:w="13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after="0" w:line="240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0.9213±0.0466</w:t>
            </w:r>
          </w:p>
        </w:tc>
        <w:tc>
          <w:tcPr>
            <w:tcW w:w="10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after="0" w:line="240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34.91±1.85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after="0" w:line="240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0.371±0.409</w:t>
            </w:r>
          </w:p>
        </w:tc>
      </w:tr>
      <w:tr>
        <w:trPr>
          <w:trHeight w:val="262"/>
        </w:trPr>
        <w:tc>
          <w:tcPr>
            <w:tcW w:w="10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after="0" w:line="240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ETER-net</w:t>
            </w:r>
          </w:p>
        </w:tc>
        <w:tc>
          <w:tcPr>
            <w:tcW w:w="13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after="0" w:line="240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0.9191±0.0474</w:t>
            </w:r>
          </w:p>
        </w:tc>
        <w:tc>
          <w:tcPr>
            <w:tcW w:w="10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after="0" w:line="240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34.69±1.84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after="0" w:line="240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0.388±0.434</w:t>
            </w:r>
          </w:p>
        </w:tc>
      </w:tr>
      <w:tr>
        <w:trPr>
          <w:trHeight w:val="262"/>
        </w:trPr>
        <w:tc>
          <w:tcPr>
            <w:tcW w:w="10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after="0" w:line="240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SS2D</w:t>
            </w:r>
            <w:r>
              <w:br/>
            </w:r>
            <w:r>
              <w:rPr>
                <w:sz w:val="16"/>
                <w:szCs w:val="16"/>
              </w:rPr>
              <w:t xml:space="preserve">(controlled)</w:t>
            </w:r>
          </w:p>
        </w:tc>
        <w:tc>
          <w:tcPr>
            <w:tcW w:w="13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after="0" w:line="240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0.9199±0.0469</w:t>
            </w:r>
          </w:p>
        </w:tc>
        <w:tc>
          <w:tcPr>
            <w:tcW w:w="10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after="0" w:line="240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34.78±1.86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after="0" w:line="240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0.381±0.414</w:t>
            </w:r>
          </w:p>
        </w:tc>
      </w:tr>
    </w:tbl>
    <w:p>
      <w:pPr>
        <w:pStyle w:val="a3"/>
        <w:spacing w:before="40" w:after="120" w:line="240" w:lineRule="auto"/>
        <w:ind w:firstLine="0"/>
        <w:jc w:val="left"/>
      </w:pPr>
      <w:r>
        <w:t xml:space="preserve">Note. 본문의 차이는 짝지은 차이의 평균(반올림 전)이므로, 반올림한 평균끼리 뺀 값과 마지막 자리가 다를 수 있다.</w:t>
      </w:r>
    </w:p>
    <w:p>
      <w:pPr>
        <w:pStyle w:val="a6"/>
      </w:pPr>
      <w:r>
        <w:t xml:space="preserve">2. </w:t>
      </w:r>
      <w:r>
        <w:t xml:space="preserve">정성 비교</w:t>
      </w:r>
    </w:p>
    <w:p>
      <w:pPr>
        <w:pStyle w:val="a4"/>
      </w:pPr>
      <w:r>
        <w:t xml:space="preserve">그림 3은 사전에 지정한 검증 AXT2 슬라이스 1개에 대한 세 모델의 출력이다. 표시 강도를 4배로 증폭한 하단 행에서 ETER-net과 SS2D(controlled)의 머리 밖 배경에는 U-Net only보다 뚜렷한 구조적 패턴이 나타났으며, 평가 볼륨 전체의 brain mask 외부 공식 정의 SSIM 지도 평균도 U-Net only 0.8592, ETER-net 0.8123, SS2D(controlled) 0.7725였다.</w:t>
      </w:r>
    </w:p>
    <w:p>
      <w:pPr>
        <w:pStyle w:val="a3"/>
        <w:spacing w:before="60" w:after="60"/>
        <w:ind w:firstLine="0"/>
        <w:jc w:val="center"/>
      </w:pPr>
      <w:r>
        <w:drawing>
          <wp:inline distT="0" distB="0" distL="0" distR="0">
            <wp:extent cx="2897505" cy="1946910"/>
            <wp:effectExtent l="0" t="0" r="0" b="0"/>
            <wp:docPr id="103" name="Fig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97505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8"/>
      </w:pPr>
      <w:r>
        <w:t xml:space="preserve">Fig.</w:t>
      </w:r>
      <w:r>
        <w:tab/>
      </w:r>
      <w:r>
        <w:t xml:space="preserve">3.</w:t>
      </w:r>
      <w:r>
        <w:tab/>
      </w:r>
      <w:r>
        <w:t xml:space="preserve">AXT2 validation slice without intensity rescaling: reconstructions with brain-masked PSNR (dB)/SSIM (top), brain-masked error maps (middle), and ×4 gain images (bottom)</w:t>
      </w:r>
    </w:p>
    <w:p>
      <w:pPr>
        <w:pStyle w:val="a5"/>
      </w:pPr>
      <w:r>
        <w:rPr>
          <w:rFonts w:ascii="바탕"/>
        </w:rPr>
        <w:t xml:space="preserve">Ⅳ</w:t>
      </w:r>
      <w:r>
        <w:t xml:space="preserve">. </w:t>
      </w:r>
      <w:r>
        <w:t xml:space="preserve">결  론</w:t>
      </w:r>
    </w:p>
    <w:p>
      <w:pPr>
        <w:pStyle w:val="a4"/>
      </w:pPr>
      <w:r>
        <w:t xml:space="preserve">본 연구에서 기준 모델인 ETER-net과, 그 시퀀스 모듈만 교체하거나 제거한 두 모델을 fastMRI brain 데이터셋의 R=4 조건에서 한 번씩 학습하여 test_full 분할에서 평가한 결과, brain mask 내부의 볼륨 평균 SSIM은 ETER-net보다 U-Net only가 0.0022, SS2D(controlled)가 0.0008 높았다. 다만 SS2D(controlled)는 U-Net only보다 SSIM이 0.0014 낮았으므로, 본 연구는 SS2D(controlled)와 ETER-net의 차이를 상태공간 모델링의 효과로 해석하지 않으며 SSM과 순환신경망 전반의 우열로 일반화할 수도 없다. 두 모듈은 순환 방식과 파라미터 구성이 다르고 SS2D 모듈은 2차원 역 푸리에 변환을 표현할 수 없어, 본 연구에서는 각 요인의 기여를 분리하지 못하였다. 또한 각 모델을 한 번씩만 학습하였고 시퀀스 모듈을 포함한 모델의 학습 손실이 더 높았으므로, 시퀀스 모듈이 재구성에 미치는 효과의 방향은 판단할 수 없다. 공식 평가 정의에서 마스크 외부의 차이로 SS2D(controlled)와 ETER-net의 순위가 바뀐 점, 학습 설정이 원 구현과 다른 점, AXT2 비중이 높은 단일 데이터셋과 단일 가속화 계수에서 평가한 점도 본 연구의 한계이다. 향후 연구에서는 여러 난수 시드와 원 구현의 학습 설정, 더 높은 가속화 계수에서 시퀀스 모듈의 기여를 평가할 계획이다.</w:t>
      </w:r>
    </w:p>
    <w:p>
      <w:pPr>
        <w:pStyle w:val="a5"/>
      </w:pPr>
      <w:r>
        <w:t xml:space="preserve">REFERENCES</w:t>
      </w:r>
    </w:p>
    <w:p>
      <w:pPr>
        <w:pStyle w:val="af5"/>
      </w:pPr>
      <w:r>
        <w:rPr>
          <w:w w:val="100"/>
        </w:rPr>
        <w:t xml:space="preserve">[1] </w:t>
      </w:r>
      <w:r>
        <w:t xml:space="preserve">A. Sriram et al., "End-to-End Variational Networks for Accelerated MRI Reconstruction," </w:t>
      </w:r>
      <w:r>
        <w:t xml:space="preserve">in </w:t>
      </w:r>
      <w:r>
        <w:rPr>
          <w:i/>
        </w:rPr>
        <w:t xml:space="preserve">Proc. MICCAI</w:t>
      </w:r>
      <w:r>
        <w:t xml:space="preserve">, LNCS, vol. 12262, pp. 64–73, 2020.</w:t>
      </w:r>
    </w:p>
    <w:p>
      <w:pPr>
        <w:pStyle w:val="af5"/>
      </w:pPr>
      <w:r>
        <w:rPr>
          <w:w w:val="100"/>
        </w:rPr>
        <w:t xml:space="preserve">[2] </w:t>
      </w:r>
      <w:r>
        <w:t xml:space="preserve">B. Zhu et al., "Image reconstruction by domain-transform manifold learning," </w:t>
      </w:r>
      <w:r>
        <w:rPr>
          <w:i/>
        </w:rPr>
        <w:t xml:space="preserve">Nature</w:t>
      </w:r>
      <w:r>
        <w:t xml:space="preserve">, vol. 555, pp. 487–492, 2018.</w:t>
      </w:r>
    </w:p>
    <w:p>
      <w:pPr>
        <w:pStyle w:val="af5"/>
      </w:pPr>
      <w:r>
        <w:rPr>
          <w:w w:val="100"/>
        </w:rPr>
        <w:t xml:space="preserve">[3] </w:t>
      </w:r>
      <w:r>
        <w:t xml:space="preserve">C. Oh et al., "A k-space-to-image reconstruction network for MRI using recurrent neural network," </w:t>
      </w:r>
      <w:r>
        <w:rPr>
          <w:i/>
        </w:rPr>
        <w:t xml:space="preserve">Med. Phys.</w:t>
      </w:r>
      <w:r>
        <w:t xml:space="preserve">, vol. 48, no. 1, pp. 193–203, 2021.</w:t>
      </w:r>
    </w:p>
    <w:p>
      <w:pPr>
        <w:pStyle w:val="af5"/>
      </w:pPr>
      <w:r>
        <w:rPr>
          <w:w w:val="100"/>
        </w:rPr>
        <w:t xml:space="preserve">[4] </w:t>
      </w:r>
      <w:r>
        <w:t xml:space="preserve">C. Oh et al., "An End-to-End Recurrent Neural Network for Radial MR Image Reconstruction," </w:t>
      </w:r>
      <w:r>
        <w:rPr>
          <w:i/>
        </w:rPr>
        <w:t xml:space="preserve">Sensors</w:t>
      </w:r>
      <w:r>
        <w:t xml:space="preserve">, vol. 22, no. 19, Art. no. 7277, 2022.</w:t>
      </w:r>
    </w:p>
    <w:p>
      <w:pPr>
        <w:pStyle w:val="af5"/>
      </w:pPr>
      <w:r>
        <w:rPr>
          <w:w w:val="100"/>
        </w:rPr>
        <w:t xml:space="preserve">[5] </w:t>
      </w:r>
      <w:r>
        <w:t xml:space="preserve">C. Oh, "A Hybrid Vision Transformer-BiRNN Architecture for Direct k-Space to Image Reconstruction in Accelerated MRI," </w:t>
      </w:r>
      <w:r>
        <w:rPr>
          <w:i/>
        </w:rPr>
        <w:t xml:space="preserve">J. Imaging</w:t>
      </w:r>
      <w:r>
        <w:t xml:space="preserve">, vol. 12, no. 1, Art. no. 11, 2026.</w:t>
      </w:r>
    </w:p>
    <w:p>
      <w:pPr>
        <w:pStyle w:val="af5"/>
      </w:pPr>
      <w:r>
        <w:rPr>
          <w:w w:val="100"/>
        </w:rPr>
        <w:t xml:space="preserve">[6] </w:t>
      </w:r>
      <w:r>
        <w:t xml:space="preserve">A. Gu and T. Dao, "Mamba: Linear-Time Sequence Modeling with Selective State Spaces," </w:t>
      </w:r>
      <w:r>
        <w:t xml:space="preserve">arXiv preprint arXiv:2312.00752</w:t>
      </w:r>
      <w:r>
        <w:t xml:space="preserve">, 2023.</w:t>
      </w:r>
    </w:p>
    <w:p>
      <w:pPr>
        <w:pStyle w:val="af5"/>
      </w:pPr>
      <w:r>
        <w:rPr>
          <w:w w:val="100"/>
        </w:rPr>
        <w:t xml:space="preserve">[7] </w:t>
      </w:r>
      <w:r>
        <w:t xml:space="preserve">Y. Liu et al., "VMamba: Visual State Space Model," </w:t>
      </w:r>
      <w:r>
        <w:t xml:space="preserve">in </w:t>
      </w:r>
      <w:r>
        <w:rPr>
          <w:i/>
        </w:rPr>
        <w:t xml:space="preserve">Proc. NeurIPS</w:t>
      </w:r>
      <w:r>
        <w:t xml:space="preserve">, 2024.</w:t>
      </w:r>
    </w:p>
    <w:p>
      <w:pPr>
        <w:pStyle w:val="af5"/>
      </w:pPr>
      <w:r>
        <w:rPr>
          <w:w w:val="100"/>
        </w:rPr>
        <w:t xml:space="preserve">[8] </w:t>
      </w:r>
      <w:r>
        <w:t xml:space="preserve">Y. Korkmaz and V. M. Patel, "MambaRecon: MRI Reconstruction with Structured State Space Models," </w:t>
      </w:r>
      <w:r>
        <w:t xml:space="preserve">in </w:t>
      </w:r>
      <w:r>
        <w:rPr>
          <w:i/>
        </w:rPr>
        <w:t xml:space="preserve">Proc. IEEE/CVF WACV</w:t>
      </w:r>
      <w:r>
        <w:t xml:space="preserve">, pp. 4142–4152, 2025.</w:t>
      </w:r>
    </w:p>
    <w:p>
      <w:pPr>
        <w:pStyle w:val="af5"/>
      </w:pPr>
      <w:r>
        <w:rPr>
          <w:w w:val="100"/>
        </w:rPr>
        <w:t xml:space="preserve">[9] </w:t>
      </w:r>
      <w:r>
        <w:t xml:space="preserve">J. Huang et al., "Enhancing global sensitivity and uncertainty quantification in medical image reconstruction with Monte Carlo arbitrary-masked Mamba," </w:t>
      </w:r>
      <w:r>
        <w:rPr>
          <w:i/>
        </w:rPr>
        <w:t xml:space="preserve">Med. Image Anal.</w:t>
      </w:r>
      <w:r>
        <w:t xml:space="preserve">, vol. 99, Art. no. 103334, 2025.</w:t>
      </w:r>
    </w:p>
    <w:p>
      <w:pPr>
        <w:pStyle w:val="af5"/>
      </w:pPr>
      <w:r>
        <w:rPr>
          <w:w w:val="100"/>
        </w:rPr>
        <w:t xml:space="preserve">[10] </w:t>
      </w:r>
      <w:r>
        <w:t xml:space="preserve">J. Zbontar et al., "fastMRI: An Open Dataset and Benchmarks for Accelerated MRI," </w:t>
      </w:r>
      <w:r>
        <w:t xml:space="preserve">arXiv preprint arXiv:1811.08839</w:t>
      </w:r>
      <w:r>
        <w:t xml:space="preserve">, 2018.</w:t>
      </w:r>
    </w:p>
    <w:p>
      <w:pPr>
        <w:pStyle w:val="af5"/>
      </w:pPr>
      <w:r>
        <w:rPr>
          <w:w w:val="100"/>
        </w:rPr>
        <w:t xml:space="preserve">[11] </w:t>
      </w:r>
      <w:r>
        <w:t xml:space="preserve">N. Otsu, "A Threshold Selection Method from Gray-Level Histograms," </w:t>
      </w:r>
      <w:r>
        <w:rPr>
          <w:i/>
        </w:rPr>
        <w:t xml:space="preserve">IEEE Trans. Syst., Man, Cybern.</w:t>
      </w:r>
      <w:r>
        <w:t xml:space="preserve">, vol. 9, no. 1, pp. 62–66, 1979.</w:t>
      </w:r>
    </w:p>
    <w:sectPr>
      <w:headerReference w:type="default" r:id="rId10"/>
      <w:footerReference w:type="default" r:id="rId11"/>
      <w:footnotePr>
        <w:numFmt w:val="lowerRoman"/>
        <w:numRestart w:val="eachPage"/>
      </w:footnotePr>
      <w:endnotePr>
        <w:numFmt w:val="decimal"/>
      </w:endnotePr>
      <w:pgSz w:w="11906" w:h="16838"/>
      <w:pgMar w:top="1984" w:right="1135" w:bottom="1138" w:left="1134" w:header="1134" w:footer="571" w:gutter="0"/>
      <w:cols w:num="2" w:space="51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F58E3" w:rsidRDefault="00CF58E3">
      <w:pPr>
        <w:spacing w:after="0" w:line="240" w:lineRule="auto"/>
      </w:pPr>
      <w:r>
        <w:separator/>
      </w:r>
    </w:p>
  </w:endnote>
  <w:endnote w:type="continuationSeparator" w:id="0">
    <w:p w:rsidR="00CF58E3" w:rsidRDefault="00CF58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한양신명조">
    <w:altName w:val="바탕"/>
    <w:panose1 w:val="00000000000000000000"/>
    <w:charset w:val="81"/>
    <w:family w:val="roman"/>
    <w:notTrueType/>
    <w:pitch w:val="default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한양중고딕">
    <w:altName w:val="바탕"/>
    <w:panose1 w:val="00000000000000000000"/>
    <w:charset w:val="81"/>
    <w:family w:val="roman"/>
    <w:notTrueType/>
    <w:pitch w:val="default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한양견고딕">
    <w:panose1 w:val="00000000000000000000"/>
    <w:charset w:val="81"/>
    <w:family w:val="roman"/>
    <w:notTrueType/>
    <w:pitch w:val="default"/>
  </w:font>
  <w:font w:name="한양견명조">
    <w:altName w:val="바탕"/>
    <w:panose1 w:val="00000000000000000000"/>
    <w:charset w:val="81"/>
    <w:family w:val="roman"/>
    <w:notTrueType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77F1A" w:rsidRDefault="00A77F1A">
    <w:pPr>
      <w:pStyle w:val="a3"/>
      <w:wordWrap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F58E3" w:rsidRDefault="00CF58E3">
      <w:pPr>
        <w:spacing w:after="0" w:line="240" w:lineRule="auto"/>
      </w:pPr>
      <w:r>
        <w:separator/>
      </w:r>
    </w:p>
  </w:footnote>
  <w:footnote w:type="continuationSeparator" w:id="0">
    <w:p w:rsidR="00CF58E3" w:rsidRDefault="00CF58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77F1A" w:rsidRDefault="00CF58E3">
    <w:pPr>
      <w:pStyle w:val="af"/>
      <w:tabs>
        <w:tab w:val="center" w:pos="5150"/>
        <w:tab w:val="right" w:pos="10150"/>
      </w:tabs>
      <w:jc w:val="right"/>
    </w:pPr>
    <w:r>
      <w:fldChar w:fldCharType="begin"/>
    </w:r>
    <w:r>
      <w:instrText>PAGE  \* ARABIC</w:instrText>
    </w:r>
    <w:r>
      <w:fldChar w:fldCharType="separate"/>
    </w:r>
    <w:r w:rsidR="00451151">
      <w:rPr>
        <w:noProof/>
      </w:rPr>
      <w:t>1</w:t>
    </w:r>
    <w: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49"/>
  </w:hdrShapeDefaults>
  <w:footnotePr>
    <w:numFmt w:val="lowerRoman"/>
    <w:numRestart w:val="eachPage"/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A77F1A"/>
    <w:rsid w:val="00451151"/>
    <w:rsid w:val="00A77F1A"/>
    <w:rsid w:val="00CF5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577"/>
      </w:tabs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신명조" w:eastAsia="한양신명조"/>
      <w:color w:val="000000"/>
      <w:spacing w:val="-5"/>
      <w:w w:val="95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firstLine="200"/>
      <w:textAlignment w:val="baseline"/>
    </w:pPr>
    <w:rPr>
      <w:rFonts w:ascii="한양신명조" w:eastAsia="한양신명조"/>
      <w:color w:val="000000"/>
      <w:spacing w:val="-5"/>
      <w:w w:val="95"/>
    </w:rPr>
  </w:style>
  <w:style w:type="paragraph" w:customStyle="1" w:styleId="a5">
    <w:name w:val="각 장 제목"/>
    <w:uiPriority w:val="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300" w:line="384" w:lineRule="auto"/>
      <w:jc w:val="center"/>
      <w:textAlignment w:val="baseline"/>
    </w:pPr>
    <w:rPr>
      <w:rFonts w:ascii="HY중고딕" w:eastAsia="HY중고딕"/>
      <w:b/>
      <w:color w:val="000000"/>
      <w:spacing w:val="-11"/>
      <w:sz w:val="22"/>
    </w:rPr>
  </w:style>
  <w:style w:type="paragraph" w:customStyle="1" w:styleId="a6">
    <w:name w:val="각 절 제목"/>
    <w:uiPriority w:val="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577"/>
      </w:tabs>
      <w:wordWrap w:val="0"/>
      <w:autoSpaceDE w:val="0"/>
      <w:autoSpaceDN w:val="0"/>
      <w:snapToGrid w:val="0"/>
      <w:spacing w:after="0" w:line="384" w:lineRule="auto"/>
      <w:ind w:firstLine="200"/>
      <w:textAlignment w:val="baseline"/>
    </w:pPr>
    <w:rPr>
      <w:rFonts w:ascii="HY중고딕" w:eastAsia="HY중고딕"/>
      <w:color w:val="000000"/>
      <w:spacing w:val="-5"/>
      <w:w w:val="95"/>
      <w:sz w:val="22"/>
    </w:rPr>
  </w:style>
  <w:style w:type="paragraph" w:customStyle="1" w:styleId="a7">
    <w:name w:val="각 항 제목"/>
    <w:uiPriority w:val="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577"/>
      </w:tabs>
      <w:wordWrap w:val="0"/>
      <w:autoSpaceDE w:val="0"/>
      <w:autoSpaceDN w:val="0"/>
      <w:snapToGrid w:val="0"/>
      <w:spacing w:after="0" w:line="384" w:lineRule="auto"/>
      <w:ind w:firstLine="200"/>
      <w:textAlignment w:val="baseline"/>
    </w:pPr>
    <w:rPr>
      <w:rFonts w:ascii="HY중고딕" w:eastAsia="HY중고딕"/>
      <w:color w:val="000000"/>
      <w:spacing w:val="-5"/>
      <w:w w:val="95"/>
    </w:rPr>
  </w:style>
  <w:style w:type="paragraph" w:customStyle="1" w:styleId="a8">
    <w:name w:val="그림/표 제목"/>
    <w:uiPriority w:val="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408"/>
        <w:tab w:val="left" w:pos="686"/>
        <w:tab w:val="left" w:pos="756"/>
      </w:tabs>
      <w:wordWrap w:val="0"/>
      <w:autoSpaceDE w:val="0"/>
      <w:autoSpaceDN w:val="0"/>
      <w:snapToGrid w:val="0"/>
      <w:spacing w:after="0" w:line="312" w:lineRule="auto"/>
      <w:ind w:left="680" w:hanging="680"/>
      <w:textAlignment w:val="baseline"/>
    </w:pPr>
    <w:rPr>
      <w:rFonts w:ascii="한양중고딕" w:eastAsia="한양중고딕"/>
      <w:color w:val="000000"/>
      <w:spacing w:val="-5"/>
      <w:w w:val="95"/>
    </w:rPr>
  </w:style>
  <w:style w:type="paragraph" w:customStyle="1" w:styleId="a9">
    <w:name w:val="한글제목"/>
    <w:uiPriority w:val="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before="360" w:after="160" w:line="384" w:lineRule="auto"/>
      <w:jc w:val="center"/>
      <w:textAlignment w:val="baseline"/>
    </w:pPr>
    <w:rPr>
      <w:rFonts w:ascii="한양신명조" w:eastAsia="한양신명조"/>
      <w:color w:val="000000"/>
      <w:spacing w:val="-20"/>
      <w:w w:val="90"/>
      <w:sz w:val="40"/>
    </w:rPr>
  </w:style>
  <w:style w:type="paragraph" w:customStyle="1" w:styleId="aa">
    <w:name w:val="영문제목"/>
    <w:uiPriority w:val="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280" w:line="312" w:lineRule="auto"/>
      <w:ind w:left="200" w:right="200"/>
      <w:jc w:val="center"/>
      <w:textAlignment w:val="baseline"/>
    </w:pPr>
    <w:rPr>
      <w:rFonts w:ascii="한양신명조" w:eastAsia="한양신명조"/>
      <w:color w:val="000000"/>
      <w:w w:val="90"/>
      <w:sz w:val="30"/>
    </w:rPr>
  </w:style>
  <w:style w:type="paragraph" w:customStyle="1" w:styleId="ab">
    <w:name w:val="한글저자"/>
    <w:uiPriority w:val="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160" w:line="408" w:lineRule="auto"/>
      <w:jc w:val="center"/>
      <w:textAlignment w:val="baseline"/>
    </w:pPr>
    <w:rPr>
      <w:rFonts w:ascii="한양신명조" w:eastAsia="한양신명조"/>
      <w:color w:val="000000"/>
      <w:sz w:val="24"/>
    </w:rPr>
  </w:style>
  <w:style w:type="paragraph" w:customStyle="1" w:styleId="ac">
    <w:name w:val="영문저자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280" w:line="408" w:lineRule="auto"/>
      <w:jc w:val="center"/>
      <w:textAlignment w:val="baseline"/>
    </w:pPr>
    <w:rPr>
      <w:rFonts w:ascii="한양신명조" w:eastAsia="한양신명조"/>
      <w:color w:val="000000"/>
      <w:spacing w:val="-11"/>
      <w:sz w:val="22"/>
    </w:rPr>
  </w:style>
  <w:style w:type="paragraph" w:customStyle="1" w:styleId="ad">
    <w:name w:val="요약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140" w:line="408" w:lineRule="auto"/>
      <w:jc w:val="center"/>
      <w:textAlignment w:val="baseline"/>
    </w:pPr>
    <w:rPr>
      <w:rFonts w:ascii="한양중고딕" w:eastAsia="한양중고딕"/>
      <w:color w:val="000000"/>
    </w:rPr>
  </w:style>
  <w:style w:type="paragraph" w:customStyle="1" w:styleId="ae">
    <w:name w:val="요약본문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320" w:line="312" w:lineRule="auto"/>
      <w:ind w:left="340" w:right="340" w:firstLine="200"/>
      <w:textAlignment w:val="baseline"/>
    </w:pPr>
    <w:rPr>
      <w:rFonts w:ascii="한양신명조" w:eastAsia="한양신명조"/>
      <w:color w:val="000000"/>
      <w:spacing w:val="-4"/>
      <w:w w:val="95"/>
      <w:sz w:val="18"/>
    </w:rPr>
  </w:style>
  <w:style w:type="paragraph" w:customStyle="1" w:styleId="Abstract">
    <w:name w:val="Abstract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140" w:line="408" w:lineRule="auto"/>
      <w:ind w:left="500" w:right="500"/>
      <w:jc w:val="center"/>
      <w:textAlignment w:val="baseline"/>
    </w:pPr>
    <w:rPr>
      <w:rFonts w:ascii="바탕" w:eastAsia="바탕"/>
      <w:b/>
      <w:color w:val="000000"/>
    </w:rPr>
  </w:style>
  <w:style w:type="paragraph" w:customStyle="1" w:styleId="af">
    <w:name w:val="머릿말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center" w:pos="3972"/>
        <w:tab w:val="right" w:pos="8568"/>
      </w:tabs>
      <w:autoSpaceDE w:val="0"/>
      <w:autoSpaceDN w:val="0"/>
      <w:snapToGrid w:val="0"/>
      <w:spacing w:after="0" w:line="312" w:lineRule="auto"/>
      <w:jc w:val="center"/>
      <w:textAlignment w:val="baseline"/>
    </w:pPr>
    <w:rPr>
      <w:rFonts w:ascii="HY중고딕" w:eastAsia="HY중고딕"/>
      <w:color w:val="000000"/>
      <w:w w:val="90"/>
      <w:sz w:val="18"/>
    </w:rPr>
  </w:style>
  <w:style w:type="paragraph" w:customStyle="1" w:styleId="af0">
    <w:name w:val="꼬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jc w:val="center"/>
      <w:textAlignment w:val="baseline"/>
    </w:pPr>
    <w:rPr>
      <w:rFonts w:ascii="한양중고딕" w:eastAsia="한양중고딕"/>
      <w:color w:val="000000"/>
      <w:spacing w:val="4"/>
      <w:w w:val="90"/>
      <w:sz w:val="16"/>
    </w:rPr>
  </w:style>
  <w:style w:type="paragraph" w:customStyle="1" w:styleId="af1">
    <w:name w:val="쪽 번호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견고딕" w:eastAsia="한양견고딕"/>
      <w:color w:val="000000"/>
    </w:rPr>
  </w:style>
  <w:style w:type="paragraph" w:customStyle="1" w:styleId="af2">
    <w:name w:val="각주내용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textAlignment w:val="baseline"/>
    </w:pPr>
    <w:rPr>
      <w:rFonts w:ascii="한양신명조" w:eastAsia="한양신명조"/>
      <w:color w:val="000000"/>
      <w:sz w:val="18"/>
    </w:rPr>
  </w:style>
  <w:style w:type="paragraph" w:customStyle="1" w:styleId="af3">
    <w:name w:val="논문번호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577"/>
      </w:tabs>
      <w:autoSpaceDE w:val="0"/>
      <w:autoSpaceDN w:val="0"/>
      <w:snapToGrid w:val="0"/>
      <w:spacing w:line="240" w:lineRule="auto"/>
      <w:jc w:val="left"/>
      <w:textAlignment w:val="baseline"/>
    </w:pPr>
    <w:rPr>
      <w:rFonts w:ascii="HY중고딕" w:eastAsia="HY중고딕"/>
      <w:color w:val="000000"/>
      <w:spacing w:val="5"/>
      <w:w w:val="95"/>
    </w:rPr>
  </w:style>
  <w:style w:type="character" w:customStyle="1" w:styleId="Keywords">
    <w:name w:val="Keywords제목"/>
    <w:uiPriority w:val="18"/>
    <w:rPr>
      <w:rFonts w:ascii="한양견명조" w:eastAsia="한양견명조"/>
      <w:color w:val="000000"/>
      <w:w w:val="95"/>
      <w:sz w:val="18"/>
    </w:rPr>
  </w:style>
  <w:style w:type="character" w:customStyle="1" w:styleId="Keywords0">
    <w:name w:val="Keywords내용"/>
    <w:uiPriority w:val="19"/>
    <w:rPr>
      <w:rFonts w:ascii="한양신명조" w:eastAsia="한양신명조"/>
      <w:color w:val="000000"/>
      <w:w w:val="95"/>
      <w:sz w:val="18"/>
    </w:rPr>
  </w:style>
  <w:style w:type="character" w:customStyle="1" w:styleId="af4">
    <w:name w:val="참고문헌번호"/>
    <w:uiPriority w:val="20"/>
    <w:rPr>
      <w:rFonts w:ascii="돋움" w:eastAsia="돋움"/>
      <w:color w:val="000000"/>
      <w:sz w:val="18"/>
      <w:vertAlign w:val="superscript"/>
    </w:rPr>
  </w:style>
  <w:style w:type="paragraph" w:customStyle="1" w:styleId="af5">
    <w:name w:val="참고문헌내용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360" w:hanging="360"/>
      <w:textAlignment w:val="baseline"/>
    </w:pPr>
    <w:rPr>
      <w:rFonts w:ascii="한양신명조" w:eastAsia="한양신명조"/>
      <w:color w:val="000000"/>
      <w:spacing w:val="-5"/>
      <w:w w:val="95"/>
    </w:rPr>
  </w:style>
  <w:style w:type="character" w:customStyle="1" w:styleId="-">
    <w:name w:val="저자소개-이름"/>
    <w:uiPriority w:val="22"/>
    <w:rPr>
      <w:rFonts w:ascii="한양중고딕" w:eastAsia="한양중고딕"/>
      <w:color w:val="000000"/>
      <w:sz w:val="22"/>
    </w:rPr>
  </w:style>
  <w:style w:type="paragraph" w:customStyle="1" w:styleId="-0">
    <w:name w:val="저자소개-약력"/>
    <w:uiPriority w:val="2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textAlignment w:val="baseline"/>
    </w:pPr>
    <w:rPr>
      <w:rFonts w:ascii="한양신명조" w:eastAsia="한양신명조"/>
      <w:color w:val="000000"/>
    </w:rPr>
  </w:style>
  <w:style w:type="paragraph" w:customStyle="1" w:styleId="af6">
    <w:name w:val="수식번호"/>
    <w:uiPriority w:val="2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408"/>
        <w:tab w:val="left" w:pos="686"/>
        <w:tab w:val="left" w:pos="756"/>
      </w:tabs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신명조" w:eastAsia="한양신명조"/>
      <w:color w:val="000000"/>
      <w:spacing w:val="-5"/>
      <w:w w:val="95"/>
      <w:sz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14" Type="http://schemas.openxmlformats.org/officeDocument/2006/relationships/image" Target="media/fig1.png"/><Relationship Id="rId15" Type="http://schemas.openxmlformats.org/officeDocument/2006/relationships/image" Target="media/fig2.png"/><Relationship Id="rId16" Type="http://schemas.openxmlformats.org/officeDocument/2006/relationships/image" Target="media/fig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347</Words>
  <Characters>1984</Characters>
  <Application>Microsoft Office Word</Application>
  <DocSecurity>0</DocSecurity>
  <Lines>16</Lines>
  <Paragraphs>4</Paragraphs>
  <ScaleCrop>false</ScaleCrop>
  <Company>Hewlett-Packard Company</Company>
  <LinksUpToDate>false</LinksUpToDate>
  <CharactersWithSpaces>2327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가속 MRI 재구성 네트워크 ETER-Net에서 순환신경망을 선택적 상태공간모델로 치환한 통제 비교 연구</dc:title>
  <dc:subject/>
  <dc:creator/>
  <cp:lastModifiedBy/>
  <cp:revision>2</cp:revision>
  <dcterms:created xsi:type="dcterms:W3CDTF">2002-02-07T08:08:00Z</dcterms:created>
  <dcterms:modified xsi:type="dcterms:W3CDTF">2021-07-30T01:40:00Z</dcterms:modified>
</cp:coreProperties>
</file>