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2BAB" w14:textId="1640AE40" w:rsidR="007448A3" w:rsidRDefault="007448A3" w:rsidP="007448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FD5D1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 OLS Regression Models</w:t>
      </w:r>
      <w:r w:rsidR="00FD5D1E">
        <w:rPr>
          <w:rFonts w:ascii="Times New Roman" w:hAnsi="Times New Roman" w:cs="Times New Roman"/>
        </w:rPr>
        <w:t>, Grouped by Educational Status</w:t>
      </w:r>
    </w:p>
    <w:p w14:paraId="1EE93705" w14:textId="77777777" w:rsidR="007448A3" w:rsidRPr="007448A3" w:rsidRDefault="007448A3" w:rsidP="007448A3">
      <w:pPr>
        <w:spacing w:after="0"/>
        <w:rPr>
          <w:rFonts w:ascii="Times New Roman" w:hAnsi="Times New Roman" w:cs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1686"/>
        <w:gridCol w:w="1686"/>
        <w:gridCol w:w="1686"/>
      </w:tblGrid>
      <w:tr w:rsidR="00FA7008" w:rsidRPr="000D2223" w14:paraId="5DBEA152" w14:textId="5A24102A" w:rsidTr="00FA7008">
        <w:trPr>
          <w:trHeight w:val="18"/>
        </w:trPr>
        <w:tc>
          <w:tcPr>
            <w:tcW w:w="2198" w:type="pct"/>
            <w:tcBorders>
              <w:top w:val="doub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E9036B" w14:textId="39F63BF1" w:rsidR="00FA7008" w:rsidRPr="000D2223" w:rsidRDefault="00FA7008" w:rsidP="00FA700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Predictors</w:t>
            </w:r>
          </w:p>
        </w:tc>
        <w:tc>
          <w:tcPr>
            <w:tcW w:w="934" w:type="pct"/>
            <w:tcBorders>
              <w:top w:val="double" w:sz="6" w:space="0" w:color="auto"/>
              <w:bottom w:val="single" w:sz="4" w:space="0" w:color="auto"/>
            </w:tcBorders>
          </w:tcPr>
          <w:p w14:paraId="63A587E0" w14:textId="210C9BE0" w:rsidR="00FA7008" w:rsidRDefault="00FA7008" w:rsidP="00FA700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All Groups</w:t>
            </w:r>
          </w:p>
        </w:tc>
        <w:tc>
          <w:tcPr>
            <w:tcW w:w="934" w:type="pct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14:paraId="0AF2B77A" w14:textId="3B7070D6" w:rsidR="00FA7008" w:rsidRPr="007E3B32" w:rsidRDefault="00FA7008" w:rsidP="00FA700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High Education</w:t>
            </w:r>
          </w:p>
        </w:tc>
        <w:tc>
          <w:tcPr>
            <w:tcW w:w="934" w:type="pct"/>
            <w:tcBorders>
              <w:top w:val="double" w:sz="6" w:space="0" w:color="auto"/>
              <w:bottom w:val="single" w:sz="4" w:space="0" w:color="auto"/>
            </w:tcBorders>
          </w:tcPr>
          <w:p w14:paraId="17D4BB8B" w14:textId="26905077" w:rsidR="00FA7008" w:rsidRPr="007E3B32" w:rsidRDefault="00FA7008" w:rsidP="00FA700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Low Education</w:t>
            </w:r>
          </w:p>
        </w:tc>
      </w:tr>
      <w:tr w:rsidR="00FA7008" w:rsidRPr="000D2223" w14:paraId="5DEEEE02" w14:textId="2035FFA7" w:rsidTr="00B5596E">
        <w:trPr>
          <w:trHeight w:val="460"/>
        </w:trPr>
        <w:tc>
          <w:tcPr>
            <w:tcW w:w="2198" w:type="pc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65E2BA" w14:textId="22884894" w:rsidR="00FA7008" w:rsidRPr="000D2223" w:rsidRDefault="00B41427" w:rsidP="00FA700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Ideological</w:t>
            </w:r>
            <w:r w:rsidR="00FA7008"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Institutionalization</w:t>
            </w:r>
          </w:p>
        </w:tc>
        <w:tc>
          <w:tcPr>
            <w:tcW w:w="934" w:type="pct"/>
          </w:tcPr>
          <w:p w14:paraId="7BC4993E" w14:textId="77777777" w:rsidR="00FA7008" w:rsidRDefault="00FA7008" w:rsidP="00FA7008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0.432***</w:t>
            </w:r>
          </w:p>
          <w:p w14:paraId="098CEC9F" w14:textId="4037DA8E" w:rsidR="00FA7008" w:rsidRPr="000D2223" w:rsidRDefault="00FA7008" w:rsidP="00FA7008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(0.095)</w:t>
            </w:r>
          </w:p>
        </w:tc>
        <w:tc>
          <w:tcPr>
            <w:tcW w:w="934" w:type="pct"/>
            <w:vAlign w:val="center"/>
          </w:tcPr>
          <w:p w14:paraId="7EC64E6C" w14:textId="605A76D0" w:rsidR="00FA7008" w:rsidRPr="000D2223" w:rsidRDefault="00FA7008" w:rsidP="00FA7008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429*</w:t>
            </w: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**</w:t>
            </w: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br/>
              <w:t>(0.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107</w:t>
            </w: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934" w:type="pct"/>
          </w:tcPr>
          <w:p w14:paraId="075021C7" w14:textId="727CFE1C" w:rsidR="00FA7008" w:rsidRDefault="00FA7008" w:rsidP="00FA7008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0.453**</w:t>
            </w:r>
          </w:p>
          <w:p w14:paraId="38B10971" w14:textId="03CAF839" w:rsidR="00FA7008" w:rsidRPr="000D2223" w:rsidRDefault="00FA7008" w:rsidP="00FA7008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(0.140)</w:t>
            </w:r>
          </w:p>
        </w:tc>
      </w:tr>
      <w:tr w:rsidR="00FA7008" w:rsidRPr="000D2223" w14:paraId="4CF074CC" w14:textId="79C06979" w:rsidTr="00B5596E">
        <w:trPr>
          <w:trHeight w:val="460"/>
        </w:trPr>
        <w:tc>
          <w:tcPr>
            <w:tcW w:w="2198" w:type="pc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2D99B8" w14:textId="2C1A5239" w:rsidR="00FA7008" w:rsidRPr="000D2223" w:rsidRDefault="00FA7008" w:rsidP="00FA700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Country-Level Political Engagement</w:t>
            </w:r>
          </w:p>
        </w:tc>
        <w:tc>
          <w:tcPr>
            <w:tcW w:w="934" w:type="pct"/>
          </w:tcPr>
          <w:p w14:paraId="39C85D51" w14:textId="77777777" w:rsidR="00FA7008" w:rsidRDefault="00FA7008" w:rsidP="00FA7008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0.277**</w:t>
            </w:r>
          </w:p>
          <w:p w14:paraId="0204044D" w14:textId="56B0BD33" w:rsidR="00FA7008" w:rsidRDefault="00FA7008" w:rsidP="00FA7008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(0.111)</w:t>
            </w:r>
          </w:p>
        </w:tc>
        <w:tc>
          <w:tcPr>
            <w:tcW w:w="934" w:type="pct"/>
            <w:vAlign w:val="center"/>
          </w:tcPr>
          <w:p w14:paraId="38CA0BAC" w14:textId="7E5E482E" w:rsidR="00FA7008" w:rsidRDefault="00FA7008" w:rsidP="00FA7008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0.477***</w:t>
            </w:r>
          </w:p>
          <w:p w14:paraId="00B879A6" w14:textId="01729E41" w:rsidR="00FA7008" w:rsidRPr="000D2223" w:rsidRDefault="00FA7008" w:rsidP="00FA7008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(0.125)</w:t>
            </w:r>
          </w:p>
        </w:tc>
        <w:tc>
          <w:tcPr>
            <w:tcW w:w="934" w:type="pct"/>
          </w:tcPr>
          <w:p w14:paraId="2B93D7A6" w14:textId="407DF229" w:rsidR="00FA7008" w:rsidRDefault="00FA7008" w:rsidP="00FA7008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0.056</w:t>
            </w:r>
          </w:p>
          <w:p w14:paraId="4CBD87DD" w14:textId="138AC896" w:rsidR="00FA7008" w:rsidRPr="000D2223" w:rsidRDefault="00FA7008" w:rsidP="00FA7008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(0.158)</w:t>
            </w:r>
          </w:p>
        </w:tc>
      </w:tr>
      <w:tr w:rsidR="00FA7008" w:rsidRPr="000D2223" w14:paraId="22D69541" w14:textId="0FC3D021" w:rsidTr="00B5596E">
        <w:trPr>
          <w:trHeight w:val="460"/>
        </w:trPr>
        <w:tc>
          <w:tcPr>
            <w:tcW w:w="2198" w:type="pc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FBD9C89" w14:textId="3D8FEBA5" w:rsidR="00FA7008" w:rsidRPr="000D2223" w:rsidRDefault="00FA7008" w:rsidP="00FA700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Mean Educational Attainment</w:t>
            </w:r>
          </w:p>
        </w:tc>
        <w:tc>
          <w:tcPr>
            <w:tcW w:w="934" w:type="pct"/>
          </w:tcPr>
          <w:p w14:paraId="55572006" w14:textId="77777777" w:rsidR="00FA7008" w:rsidRDefault="00FA7008" w:rsidP="00FA7008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0.077</w:t>
            </w:r>
          </w:p>
          <w:p w14:paraId="137FE12E" w14:textId="0A745F7F" w:rsidR="00FA7008" w:rsidRPr="000D2223" w:rsidRDefault="00FA7008" w:rsidP="00FA7008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(0.097)</w:t>
            </w:r>
          </w:p>
        </w:tc>
        <w:tc>
          <w:tcPr>
            <w:tcW w:w="934" w:type="pct"/>
            <w:vAlign w:val="center"/>
          </w:tcPr>
          <w:p w14:paraId="50715037" w14:textId="6F25AD8D" w:rsidR="00FA7008" w:rsidRDefault="00FA7008" w:rsidP="00FA7008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0.162</w:t>
            </w:r>
          </w:p>
          <w:p w14:paraId="44C7EB3D" w14:textId="02AFB0D4" w:rsidR="00FA7008" w:rsidRPr="000D2223" w:rsidRDefault="00FA7008" w:rsidP="00FA7008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(0.115)</w:t>
            </w:r>
          </w:p>
        </w:tc>
        <w:tc>
          <w:tcPr>
            <w:tcW w:w="934" w:type="pct"/>
          </w:tcPr>
          <w:p w14:paraId="07C78D9A" w14:textId="77777777" w:rsidR="00FA7008" w:rsidRDefault="00FA7008" w:rsidP="00FA7008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0.360*</w:t>
            </w:r>
          </w:p>
          <w:p w14:paraId="35732443" w14:textId="1FFCD408" w:rsidR="00FA7008" w:rsidRPr="000D2223" w:rsidRDefault="00FA7008" w:rsidP="00FA7008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(0.137)</w:t>
            </w:r>
          </w:p>
        </w:tc>
      </w:tr>
      <w:tr w:rsidR="00FA7008" w:rsidRPr="000D2223" w14:paraId="3BDDCC64" w14:textId="77777777" w:rsidTr="00B5596E">
        <w:trPr>
          <w:trHeight w:val="460"/>
        </w:trPr>
        <w:tc>
          <w:tcPr>
            <w:tcW w:w="2198" w:type="pc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5DB3413" w14:textId="2083D13B" w:rsidR="00FA7008" w:rsidRDefault="00FA7008" w:rsidP="00FA700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Educational Group (</w:t>
            </w:r>
            <w:r w:rsidR="00226E3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Ref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= </w:t>
            </w:r>
            <w:r w:rsidR="00226E3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High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Education)</w:t>
            </w:r>
          </w:p>
        </w:tc>
        <w:tc>
          <w:tcPr>
            <w:tcW w:w="934" w:type="pct"/>
          </w:tcPr>
          <w:p w14:paraId="2D805265" w14:textId="77777777" w:rsidR="00FA7008" w:rsidRDefault="00FA7008" w:rsidP="00FA7008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0.388***</w:t>
            </w:r>
          </w:p>
          <w:p w14:paraId="72499878" w14:textId="2EE5BC91" w:rsidR="00FA7008" w:rsidRPr="000D2223" w:rsidRDefault="00FA7008" w:rsidP="00FA7008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(0.109)</w:t>
            </w:r>
          </w:p>
        </w:tc>
        <w:tc>
          <w:tcPr>
            <w:tcW w:w="934" w:type="pct"/>
            <w:vAlign w:val="center"/>
          </w:tcPr>
          <w:p w14:paraId="2569B3F7" w14:textId="2BEE5BEF" w:rsidR="00FA7008" w:rsidRPr="000D2223" w:rsidRDefault="00FA7008" w:rsidP="00FA7008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34" w:type="pct"/>
          </w:tcPr>
          <w:p w14:paraId="6329D642" w14:textId="77777777" w:rsidR="00FA7008" w:rsidRDefault="00FA7008" w:rsidP="00FA7008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FA7008" w:rsidRPr="000D2223" w14:paraId="20BB6C6B" w14:textId="2A408C8C" w:rsidTr="00781A49">
        <w:trPr>
          <w:trHeight w:val="460"/>
        </w:trPr>
        <w:tc>
          <w:tcPr>
            <w:tcW w:w="2198" w:type="pc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EFC5F1F" w14:textId="3B5325D2" w:rsidR="00FA7008" w:rsidRPr="000D2223" w:rsidRDefault="00FA7008" w:rsidP="00FA700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Survey Instrument Controls</w:t>
            </w:r>
          </w:p>
        </w:tc>
        <w:tc>
          <w:tcPr>
            <w:tcW w:w="934" w:type="pct"/>
            <w:vAlign w:val="center"/>
          </w:tcPr>
          <w:p w14:paraId="03C697DE" w14:textId="3E7FD247" w:rsidR="00FA7008" w:rsidRDefault="00FA7008" w:rsidP="00781A4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+</w:t>
            </w:r>
          </w:p>
        </w:tc>
        <w:tc>
          <w:tcPr>
            <w:tcW w:w="934" w:type="pct"/>
            <w:vAlign w:val="center"/>
          </w:tcPr>
          <w:p w14:paraId="069A2AD8" w14:textId="0C6B19B9" w:rsidR="00FA7008" w:rsidRPr="000D2223" w:rsidRDefault="00FA7008" w:rsidP="00781A4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+</w:t>
            </w:r>
          </w:p>
        </w:tc>
        <w:tc>
          <w:tcPr>
            <w:tcW w:w="934" w:type="pct"/>
            <w:vAlign w:val="center"/>
          </w:tcPr>
          <w:p w14:paraId="26206B4C" w14:textId="5856FEA4" w:rsidR="00FA7008" w:rsidRPr="000D2223" w:rsidRDefault="00FA7008" w:rsidP="00781A4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+</w:t>
            </w:r>
          </w:p>
        </w:tc>
      </w:tr>
      <w:tr w:rsidR="00FA7008" w:rsidRPr="000D2223" w14:paraId="550CB5ED" w14:textId="77777777" w:rsidTr="00A2758E">
        <w:trPr>
          <w:trHeight w:val="74"/>
        </w:trPr>
        <w:tc>
          <w:tcPr>
            <w:tcW w:w="2198" w:type="pct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83A2DF9" w14:textId="63AC3A5C" w:rsidR="00FA7008" w:rsidRPr="000D2223" w:rsidRDefault="00FA7008" w:rsidP="00FA700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</w:t>
            </w:r>
          </w:p>
        </w:tc>
        <w:tc>
          <w:tcPr>
            <w:tcW w:w="934" w:type="pct"/>
            <w:tcBorders>
              <w:top w:val="single" w:sz="4" w:space="0" w:color="auto"/>
            </w:tcBorders>
            <w:vAlign w:val="center"/>
          </w:tcPr>
          <w:p w14:paraId="086A01EB" w14:textId="48B2D232" w:rsidR="00FA7008" w:rsidRPr="000D2223" w:rsidRDefault="00FA7008" w:rsidP="00A2758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156</w:t>
            </w:r>
          </w:p>
        </w:tc>
        <w:tc>
          <w:tcPr>
            <w:tcW w:w="934" w:type="pct"/>
            <w:tcBorders>
              <w:top w:val="single" w:sz="4" w:space="0" w:color="auto"/>
            </w:tcBorders>
            <w:vAlign w:val="center"/>
          </w:tcPr>
          <w:p w14:paraId="505048C6" w14:textId="74BCC1F6" w:rsidR="00FA7008" w:rsidRPr="000D2223" w:rsidRDefault="00FA7008" w:rsidP="00A2758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78</w:t>
            </w:r>
          </w:p>
        </w:tc>
        <w:tc>
          <w:tcPr>
            <w:tcW w:w="934" w:type="pct"/>
            <w:tcBorders>
              <w:top w:val="single" w:sz="4" w:space="0" w:color="auto"/>
            </w:tcBorders>
            <w:vAlign w:val="center"/>
          </w:tcPr>
          <w:p w14:paraId="3C11C01E" w14:textId="14154310" w:rsidR="00FA7008" w:rsidRPr="000D2223" w:rsidRDefault="00FA7008" w:rsidP="00A2758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78</w:t>
            </w:r>
          </w:p>
        </w:tc>
      </w:tr>
      <w:tr w:rsidR="00FA7008" w:rsidRPr="000D2223" w14:paraId="7B0ACBD2" w14:textId="77777777" w:rsidTr="00A2758E">
        <w:trPr>
          <w:trHeight w:val="18"/>
        </w:trPr>
        <w:tc>
          <w:tcPr>
            <w:tcW w:w="2198" w:type="pct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7027352" w14:textId="2E4E32B9" w:rsidR="00FA7008" w:rsidRPr="000D2223" w:rsidRDefault="00FA7008" w:rsidP="00FA700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Adjusted R</w:t>
            </w: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34" w:type="pct"/>
            <w:tcBorders>
              <w:bottom w:val="single" w:sz="4" w:space="0" w:color="auto"/>
            </w:tcBorders>
            <w:vAlign w:val="center"/>
          </w:tcPr>
          <w:p w14:paraId="32ED7CAA" w14:textId="0F36B14B" w:rsidR="00FA7008" w:rsidRPr="000D2223" w:rsidRDefault="00FA7008" w:rsidP="00A2758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0.36</w:t>
            </w:r>
          </w:p>
        </w:tc>
        <w:tc>
          <w:tcPr>
            <w:tcW w:w="934" w:type="pct"/>
            <w:tcBorders>
              <w:bottom w:val="single" w:sz="4" w:space="0" w:color="auto"/>
            </w:tcBorders>
            <w:vAlign w:val="center"/>
          </w:tcPr>
          <w:p w14:paraId="0D3D3DCA" w14:textId="65D8381C" w:rsidR="00FA7008" w:rsidRPr="000D2223" w:rsidRDefault="00FA7008" w:rsidP="00A2758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934" w:type="pct"/>
            <w:tcBorders>
              <w:bottom w:val="single" w:sz="4" w:space="0" w:color="auto"/>
            </w:tcBorders>
            <w:vAlign w:val="center"/>
          </w:tcPr>
          <w:p w14:paraId="08D3F539" w14:textId="5F56713D" w:rsidR="00FA7008" w:rsidRPr="000D2223" w:rsidRDefault="00FA7008" w:rsidP="00A2758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0.31</w:t>
            </w:r>
          </w:p>
        </w:tc>
      </w:tr>
    </w:tbl>
    <w:p w14:paraId="56C510F2" w14:textId="4B79584F" w:rsidR="00285994" w:rsidRDefault="003E62BA" w:rsidP="003E62B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E62BA">
        <w:rPr>
          <w:rFonts w:ascii="Times New Roman" w:hAnsi="Times New Roman" w:cs="Times New Roman"/>
          <w:sz w:val="20"/>
          <w:szCs w:val="20"/>
        </w:rPr>
        <w:t xml:space="preserve">Note: </w:t>
      </w:r>
      <w:r>
        <w:rPr>
          <w:rFonts w:ascii="Times New Roman" w:hAnsi="Times New Roman" w:cs="Times New Roman"/>
          <w:sz w:val="20"/>
          <w:szCs w:val="20"/>
        </w:rPr>
        <w:t xml:space="preserve">Coefficients are standardized. Heteroskedasticity-consistent standard errors are in parentheses. </w:t>
      </w:r>
      <w:r w:rsidRPr="00285994">
        <w:rPr>
          <w:rFonts w:ascii="Times New Roman" w:hAnsi="Times New Roman" w:cs="Times New Roman"/>
          <w:i/>
          <w:iCs/>
          <w:sz w:val="20"/>
          <w:szCs w:val="20"/>
        </w:rPr>
        <w:t>p ≠ 0</w:t>
      </w:r>
      <w:r>
        <w:rPr>
          <w:rFonts w:ascii="Times New Roman" w:hAnsi="Times New Roman" w:cs="Times New Roman"/>
          <w:sz w:val="20"/>
          <w:szCs w:val="20"/>
        </w:rPr>
        <w:t xml:space="preserve"> refers to the probability that the </w:t>
      </w:r>
      <w:r w:rsidR="00285994">
        <w:rPr>
          <w:rFonts w:ascii="Times New Roman" w:hAnsi="Times New Roman" w:cs="Times New Roman"/>
          <w:sz w:val="20"/>
          <w:szCs w:val="20"/>
        </w:rPr>
        <w:t>estimate</w:t>
      </w:r>
      <w:r>
        <w:rPr>
          <w:rFonts w:ascii="Times New Roman" w:hAnsi="Times New Roman" w:cs="Times New Roman"/>
          <w:sz w:val="20"/>
          <w:szCs w:val="20"/>
        </w:rPr>
        <w:t xml:space="preserve"> is not 0</w:t>
      </w:r>
      <w:r w:rsidR="00285994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85994">
        <w:rPr>
          <w:rFonts w:ascii="Times New Roman" w:hAnsi="Times New Roman" w:cs="Times New Roman"/>
          <w:sz w:val="20"/>
          <w:szCs w:val="20"/>
        </w:rPr>
        <w:t>The missing countries are Andorra, Macau</w:t>
      </w:r>
      <w:r w:rsidR="000162CE">
        <w:rPr>
          <w:rFonts w:ascii="Times New Roman" w:hAnsi="Times New Roman" w:cs="Times New Roman"/>
          <w:sz w:val="20"/>
          <w:szCs w:val="20"/>
        </w:rPr>
        <w:t xml:space="preserve"> and</w:t>
      </w:r>
      <w:r w:rsidR="00285994">
        <w:rPr>
          <w:rFonts w:ascii="Times New Roman" w:hAnsi="Times New Roman" w:cs="Times New Roman"/>
          <w:sz w:val="20"/>
          <w:szCs w:val="20"/>
        </w:rPr>
        <w:t xml:space="preserve"> Puerto Rico.</w:t>
      </w:r>
      <w:r w:rsidR="00AE1357">
        <w:rPr>
          <w:rFonts w:ascii="Times New Roman" w:hAnsi="Times New Roman" w:cs="Times New Roman"/>
          <w:sz w:val="20"/>
          <w:szCs w:val="20"/>
        </w:rPr>
        <w:t xml:space="preserve"> All models control for the inclusion of political ideology, the mode of survey</w:t>
      </w:r>
      <w:r w:rsidR="00D15CC1">
        <w:rPr>
          <w:rFonts w:ascii="Times New Roman" w:hAnsi="Times New Roman" w:cs="Times New Roman"/>
          <w:sz w:val="20"/>
          <w:szCs w:val="20"/>
        </w:rPr>
        <w:t xml:space="preserve"> collection</w:t>
      </w:r>
      <w:r w:rsidR="00AE1357">
        <w:rPr>
          <w:rFonts w:ascii="Times New Roman" w:hAnsi="Times New Roman" w:cs="Times New Roman"/>
          <w:sz w:val="20"/>
          <w:szCs w:val="20"/>
        </w:rPr>
        <w:t xml:space="preserve">, sample size, and </w:t>
      </w:r>
      <w:r w:rsidR="00D15CC1">
        <w:rPr>
          <w:rFonts w:ascii="Times New Roman" w:hAnsi="Times New Roman" w:cs="Times New Roman"/>
          <w:sz w:val="20"/>
          <w:szCs w:val="20"/>
        </w:rPr>
        <w:t xml:space="preserve">survey </w:t>
      </w:r>
      <w:r w:rsidR="00AE1357">
        <w:rPr>
          <w:rFonts w:ascii="Times New Roman" w:hAnsi="Times New Roman" w:cs="Times New Roman"/>
          <w:sz w:val="20"/>
          <w:szCs w:val="20"/>
        </w:rPr>
        <w:t>language.</w:t>
      </w:r>
      <w:r w:rsidR="00FA7008">
        <w:rPr>
          <w:rFonts w:ascii="Times New Roman" w:hAnsi="Times New Roman" w:cs="Times New Roman"/>
          <w:sz w:val="20"/>
          <w:szCs w:val="20"/>
        </w:rPr>
        <w:t xml:space="preserve"> I clustered the standard errors at the country-level for the “all groups” model.</w:t>
      </w:r>
    </w:p>
    <w:p w14:paraId="15C08B52" w14:textId="5B0A8758" w:rsidR="00364A1B" w:rsidRPr="003E62BA" w:rsidRDefault="006518D9" w:rsidP="003E62B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*** p &lt; 0.001, </w:t>
      </w:r>
      <w:r w:rsidR="0025093F">
        <w:rPr>
          <w:rFonts w:ascii="Times New Roman" w:hAnsi="Times New Roman" w:cs="Times New Roman"/>
          <w:sz w:val="20"/>
          <w:szCs w:val="20"/>
        </w:rPr>
        <w:t>** p &lt; 0.01</w:t>
      </w:r>
      <w:r w:rsidR="00AE1357">
        <w:rPr>
          <w:rFonts w:ascii="Times New Roman" w:hAnsi="Times New Roman" w:cs="Times New Roman"/>
          <w:sz w:val="20"/>
          <w:szCs w:val="20"/>
        </w:rPr>
        <w:t>.</w:t>
      </w:r>
    </w:p>
    <w:sectPr w:rsidR="00364A1B" w:rsidRPr="003E62BA" w:rsidSect="0068330E">
      <w:pgSz w:w="11907" w:h="16840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A2135" w14:textId="77777777" w:rsidR="00583720" w:rsidRDefault="00583720" w:rsidP="00890E79">
      <w:pPr>
        <w:spacing w:after="0"/>
      </w:pPr>
      <w:r>
        <w:separator/>
      </w:r>
    </w:p>
  </w:endnote>
  <w:endnote w:type="continuationSeparator" w:id="0">
    <w:p w14:paraId="1A21E5CB" w14:textId="77777777" w:rsidR="00583720" w:rsidRDefault="00583720" w:rsidP="00890E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026F0" w14:textId="77777777" w:rsidR="00583720" w:rsidRDefault="00583720" w:rsidP="00890E79">
      <w:pPr>
        <w:spacing w:after="0"/>
      </w:pPr>
      <w:r>
        <w:separator/>
      </w:r>
    </w:p>
  </w:footnote>
  <w:footnote w:type="continuationSeparator" w:id="0">
    <w:p w14:paraId="2C653B7C" w14:textId="77777777" w:rsidR="00583720" w:rsidRDefault="00583720" w:rsidP="00890E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A3"/>
    <w:rsid w:val="000162CE"/>
    <w:rsid w:val="00030E0E"/>
    <w:rsid w:val="00044B21"/>
    <w:rsid w:val="000B16E8"/>
    <w:rsid w:val="000D2223"/>
    <w:rsid w:val="001162BC"/>
    <w:rsid w:val="001604E8"/>
    <w:rsid w:val="001E2BB9"/>
    <w:rsid w:val="00202AFB"/>
    <w:rsid w:val="002110BC"/>
    <w:rsid w:val="00226E3C"/>
    <w:rsid w:val="00243728"/>
    <w:rsid w:val="0025093F"/>
    <w:rsid w:val="00250DCF"/>
    <w:rsid w:val="00250E75"/>
    <w:rsid w:val="00260380"/>
    <w:rsid w:val="00285994"/>
    <w:rsid w:val="002D2938"/>
    <w:rsid w:val="003164FD"/>
    <w:rsid w:val="00361899"/>
    <w:rsid w:val="00364A1B"/>
    <w:rsid w:val="00385119"/>
    <w:rsid w:val="003E62BA"/>
    <w:rsid w:val="00415DF1"/>
    <w:rsid w:val="00475239"/>
    <w:rsid w:val="004857C8"/>
    <w:rsid w:val="00495455"/>
    <w:rsid w:val="00517EFC"/>
    <w:rsid w:val="00562A3D"/>
    <w:rsid w:val="00583720"/>
    <w:rsid w:val="005A3E80"/>
    <w:rsid w:val="005A6F82"/>
    <w:rsid w:val="006031BF"/>
    <w:rsid w:val="00616333"/>
    <w:rsid w:val="006518D9"/>
    <w:rsid w:val="00666442"/>
    <w:rsid w:val="0068330E"/>
    <w:rsid w:val="006F0D58"/>
    <w:rsid w:val="00714CAB"/>
    <w:rsid w:val="007448A3"/>
    <w:rsid w:val="00781A49"/>
    <w:rsid w:val="007D4941"/>
    <w:rsid w:val="007E3B32"/>
    <w:rsid w:val="00802E9E"/>
    <w:rsid w:val="0082535D"/>
    <w:rsid w:val="0084426F"/>
    <w:rsid w:val="00890E79"/>
    <w:rsid w:val="008B2067"/>
    <w:rsid w:val="008C4AB7"/>
    <w:rsid w:val="00912AB8"/>
    <w:rsid w:val="00917F8E"/>
    <w:rsid w:val="009403E7"/>
    <w:rsid w:val="009A6B3B"/>
    <w:rsid w:val="009E6DEF"/>
    <w:rsid w:val="00A22466"/>
    <w:rsid w:val="00A2758E"/>
    <w:rsid w:val="00A30176"/>
    <w:rsid w:val="00AA29E9"/>
    <w:rsid w:val="00AD7CDA"/>
    <w:rsid w:val="00AE1357"/>
    <w:rsid w:val="00B0271F"/>
    <w:rsid w:val="00B2381C"/>
    <w:rsid w:val="00B41427"/>
    <w:rsid w:val="00B5596E"/>
    <w:rsid w:val="00B7647B"/>
    <w:rsid w:val="00BA0CA0"/>
    <w:rsid w:val="00BE7296"/>
    <w:rsid w:val="00C151C7"/>
    <w:rsid w:val="00C31FC7"/>
    <w:rsid w:val="00CE0EC4"/>
    <w:rsid w:val="00D15CC1"/>
    <w:rsid w:val="00D53072"/>
    <w:rsid w:val="00ED1A58"/>
    <w:rsid w:val="00F05C20"/>
    <w:rsid w:val="00FA7008"/>
    <w:rsid w:val="00FB5267"/>
    <w:rsid w:val="00FD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B644"/>
  <w15:chartTrackingRefBased/>
  <w15:docId w15:val="{B2182516-0E7F-4A06-B657-E61B7704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MU Serif" w:eastAsiaTheme="minorHAnsi" w:hAnsi="CMU Serif" w:cs="CMU Serif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E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0E79"/>
  </w:style>
  <w:style w:type="paragraph" w:styleId="Footer">
    <w:name w:val="footer"/>
    <w:basedOn w:val="Normal"/>
    <w:link w:val="FooterChar"/>
    <w:uiPriority w:val="99"/>
    <w:unhideWhenUsed/>
    <w:rsid w:val="00890E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0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Turgut Keskintürk</dc:creator>
  <cp:keywords/>
  <dc:description/>
  <cp:lastModifiedBy>Turgut Keskintürk</cp:lastModifiedBy>
  <cp:revision>55</cp:revision>
  <dcterms:created xsi:type="dcterms:W3CDTF">2021-06-26T16:33:00Z</dcterms:created>
  <dcterms:modified xsi:type="dcterms:W3CDTF">2022-01-24T14:38:00Z</dcterms:modified>
</cp:coreProperties>
</file>