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4A7A" w:val="clear"/>
            <w:tcMar>
              <w:top w:type="dxa" w:w="160"/>
              <w:left w:type="dxa" w:w="200"/>
              <w:bottom w:type="dxa" w:w="160"/>
              <w:right w:type="dxa" w:w="200"/>
            </w:tcMar>
          </w:tcPr>
          <w:p>
            <w:r>
              <w:rPr>
                <w:b/>
                <w:bCs/>
                <w:color w:val="FFFFFF"/>
                <w:sz w:val="28"/>
                <w:szCs w:val="28"/>
              </w:rPr>
              <w:t xml:space="preserve">Innercode R&amp;D Pty Ltd</w:t>
            </w:r>
          </w:p>
          <w:p>
            <w:r>
              <w:rPr>
                <w:color w:val="DDDDDD"/>
                <w:sz w:val="18"/>
                <w:szCs w:val="18"/>
              </w:rPr>
              <w:t xml:space="preserve">ABN 57 632 701 109  |  www.innercode.com.au</w:t>
            </w:r>
          </w:p>
        </w:tc>
        <w:tc>
          <w:tcPr>
            <w:tcW w:type="dxa" w:w="4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vAlign w:val="center"/>
          </w:tcPr>
          <w:p>
            <w:pPr>
              <w:jc w:val="right"/>
            </w:pPr>
            <w:r>
              <w:rPr>
                <w:b/>
                <w:bCs/>
                <w:sz w:val="24"/>
                <w:szCs w:val="24"/>
              </w:rPr>
              <w:t xml:space="preserve">R&amp;D Project Directive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Project Name: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Zemi – Smart Wearable for Generation Alpha</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Project No:</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ZEM-01</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Income Period:</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2025 – 2026</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Zemi Pty Ltd</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Contractor:</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Timothy Dwyer – TKD Research and Consulting (ABN: 670 960 586)</w:t>
            </w:r>
          </w:p>
        </w:tc>
      </w:tr>
    </w:tbl>
    <w:p>
      <w:r>
        <w:t xml:space="preserve"/>
      </w:r>
    </w:p>
    <w:p>
      <w:pPr>
        <w:pStyle w:val="Heading1"/>
      </w:pPr>
      <w:r>
        <w:rPr>
          <w:b/>
          <w:bCs/>
          <w:sz w:val="28"/>
          <w:szCs w:val="28"/>
        </w:rPr>
        <w:t xml:space="preserve">Project Outline</w:t>
      </w:r>
    </w:p>
    <w:p>
      <w:pPr>
        <w:spacing w:after="120"/>
      </w:pPr>
      <w:r>
        <w:rPr>
          <w:b w:val="false"/>
          <w:bCs w:val="false"/>
          <w:sz w:val="20"/>
          <w:szCs w:val="20"/>
        </w:rPr>
        <w:t xml:space="preserve">Zemi Pty Ltd is an Australian company developing an innovative micro smart wearable device specifically designed for Generation Alpha — children aged 8–15 (born 2010–2025). Our mission is to deliver a first-of-its-kind wearable that leverages novel 3D magnetic sensing technology and gamified user interaction to create a safe, engaging, child-native product unlike anything currently available in the consumer wearables market.</w:t>
      </w:r>
    </w:p>
    <w:p>
      <w:pPr>
        <w:spacing w:after="120"/>
      </w:pPr>
      <w:r>
        <w:rPr>
          <w:b w:val="false"/>
          <w:bCs w:val="false"/>
          <w:sz w:val="20"/>
          <w:szCs w:val="20"/>
        </w:rPr>
        <w:t xml:space="preserve">Our FY2026 R&amp;D program built directly on findings from the FY2025 program, which established foundational research across two core activities: (1) a spatial magnetic handshake protocol using the MLX90393 3D magnetic sensor, and (2) an inductive magnetic charging solution using a sliding power module. Both activities produced partial results in FY25, with clearly documented knowledge gaps and unresolved technical challenges carried forward into FY26.</w:t>
      </w:r>
    </w:p>
    <w:p>
      <w:pPr>
        <w:spacing w:after="120"/>
      </w:pPr>
      <w:r>
        <w:rPr>
          <w:b w:val="false"/>
          <w:bCs w:val="false"/>
          <w:sz w:val="20"/>
          <w:szCs w:val="20"/>
        </w:rPr>
        <w:t xml:space="preserve">The FY2026 program advanced both activities from prototype-stage research to production-ready validation across a 61-day program (1 May – 30 June 2026), using systematic hypothesis-driven experimentation. All activities were conducted in Australia by Timothy Dwyer (TKD Research and Consulting) and are structured to meet the requirements of the Australian R&amp;D Tax Incentive (Section 355, ITAA 1997). Both core activities reached Phase 4 (Production Review) and achieved confirmed outcomes prior to 30 June 2026.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A7A" w:val="clear"/>
            <w:tcMar>
              <w:top w:type="dxa" w:w="120"/>
              <w:left w:type="dxa" w:w="160"/>
              <w:bottom w:type="dxa" w:w="120"/>
              <w:right w:type="dxa" w:w="160"/>
            </w:tcMar>
          </w:tcPr>
          <w:p>
            <w:r>
              <w:rPr>
                <w:b/>
                <w:bCs/>
                <w:color w:val="FFFFFF"/>
                <w:sz w:val="24"/>
                <w:szCs w:val="24"/>
              </w:rPr>
              <w:t xml:space="preserve">Core Activity One: Experimentation on the Production-Readiness of the 3D Magnetic Field Detector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Activity Name: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Experimentation on the Production-Readiness of the 3D Magnetic Field Detector</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Start Date: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May 2026</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End Date: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 June 2026</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Personnel:</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Timothy Dwyer (Hardware Engineer, Embedded Systems Developer, Researcher)</w:t>
            </w:r>
          </w:p>
        </w:tc>
      </w:tr>
    </w:tbl>
    <w:p>
      <w:r>
        <w:t xml:space="preserve"/>
      </w:r>
    </w:p>
    <w:p>
      <w:pPr>
        <w:pStyle w:val="Heading2"/>
      </w:pPr>
      <w:r>
        <w:rPr>
          <w:b/>
          <w:bCs/>
          <w:sz w:val="24"/>
          <w:szCs w:val="24"/>
        </w:rPr>
        <w:t xml:space="preserve">Hypothesis</w:t>
      </w:r>
    </w:p>
    <w:p>
      <w:pPr>
        <w:spacing w:after="120"/>
      </w:pPr>
      <w:r>
        <w:rPr>
          <w:b w:val="false"/>
          <w:bCs w:val="false"/>
          <w:sz w:val="20"/>
          <w:szCs w:val="20"/>
        </w:rPr>
        <w:t xml:space="preserve">In FY2025, we demonstrated that a spatial magnetic handshake protocol using the MLX90393 3D Hall-effect sensor could establish stable device-to-device pairing at short range, achieving 94% success at 0.5 metres. However, performance fell below the target of 90% at 1 metre under real-world conditions, and critical production-readiness parameters — including multi-device interference in dense environments, firmware noise filtering optimised for Generation Alpha motor patterns, and unit-level manufacturing costs — remained unresolved. The outcome of resolving these challenges through firmware iteration and miniaturised hardware testing could not be determined by a competent professional without systematic experimentation.</w:t>
      </w:r>
    </w:p>
    <w:p>
      <w:pPr>
        <w:spacing w:after="120"/>
      </w:pPr>
      <w:r>
        <w:rPr>
          <w:b w:val="false"/>
          <w:bCs w:val="false"/>
          <w:sz w:val="20"/>
          <w:szCs w:val="20"/>
        </w:rPr>
        <w:t xml:space="preserve">Based on the intent of this activity, we hypothesised that:</w:t>
      </w:r>
    </w:p>
    <w:p>
      <w:pPr>
        <w:spacing w:after="80"/>
      </w:pPr>
      <w:r>
        <w:rPr>
          <w:b/>
          <w:bCs/>
          <w:sz w:val="20"/>
          <w:szCs w:val="20"/>
        </w:rPr>
        <w:t xml:space="preserve">(A) </w:t>
      </w:r>
      <w:r>
        <w:rPr>
          <w:sz w:val="20"/>
          <w:szCs w:val="20"/>
        </w:rPr>
        <w:t xml:space="preserve">A miniaturised MLX90393 sensor integrated within a TPU/silicone housing with EMI shielding will maintain a pairing success rate of ≥95% at distances of 0–1 metre, across real-world multi-device environments including classrooms and playgrounds with up to 10 concurrent Zemi devices.</w:t>
      </w:r>
    </w:p>
    <w:p>
      <w:pPr>
        <w:spacing w:after="80"/>
      </w:pPr>
      <w:r>
        <w:rPr>
          <w:b/>
          <w:bCs/>
          <w:sz w:val="20"/>
          <w:szCs w:val="20"/>
        </w:rPr>
        <w:t xml:space="preserve">(B) </w:t>
      </w:r>
      <w:r>
        <w:rPr>
          <w:sz w:val="20"/>
          <w:szCs w:val="20"/>
        </w:rPr>
        <w:t xml:space="preserve">A custom firmware noise-filtering algorithm — iterated from the FY25 unfiltered baseline through Moving Average, Kalman, and Hybrid Spike-Gate+Kalman implementations — will reduce false-positive pairing events to &lt;2% in a 10-device concurrent test, compared to the FY25 baseline which was not characterised in multi-device conditions.</w:t>
      </w:r>
    </w:p>
    <w:p>
      <w:pPr>
        <w:spacing w:after="80"/>
      </w:pPr>
      <w:r>
        <w:rPr>
          <w:b/>
          <w:bCs/>
          <w:sz w:val="20"/>
          <w:szCs w:val="20"/>
        </w:rPr>
        <w:t xml:space="preserve">(C) </w:t>
      </w:r>
      <w:r>
        <w:rPr>
          <w:sz w:val="20"/>
          <w:szCs w:val="20"/>
        </w:rPr>
        <w:t xml:space="preserve">The MLX90393 sensor stack can be manufactured at an acceptable per-unit bill-of-materials cost, validated through 500-unit prototype costing with a local contract manufacturer.</w:t>
      </w:r>
    </w:p>
    <w:p>
      <w:r>
        <w:t xml:space="preserve"/>
      </w:r>
    </w:p>
    <w:p>
      <w:pPr>
        <w:spacing w:after="120"/>
      </w:pPr>
      <w:r>
        <w:rPr>
          <w:b/>
          <w:bCs/>
          <w:sz w:val="20"/>
          <w:szCs w:val="20"/>
        </w:rPr>
        <w:t xml:space="preserve">What gap in knowledge was identified through research that led to the formulation of the hypothesis?</w:t>
      </w:r>
    </w:p>
    <w:p>
      <w:pPr>
        <w:spacing w:after="120"/>
      </w:pPr>
      <w:r>
        <w:rPr>
          <w:b w:val="false"/>
          <w:bCs w:val="false"/>
          <w:sz w:val="20"/>
          <w:szCs w:val="20"/>
        </w:rPr>
        <w:t xml:space="preserve">Our FY2025 investigation established that the spatial magnetic handshake protocol could achieve connectivity at short range but could not determine whether the system would perform reliably at 1 metre in real-world environments containing multiple concurrent devices. Published literature on 3D magnetic sensing addresses industrial and automotive applications, where sensor geometries, interference profiles, and operational dynamics differ fundamentally from a child-worn wearable in a school or playground setting. We consulted with embedded systems engineers and RF interference specialists, none of whom could identify existing solutions calibrated to this specific use case. The knowledge gap is specifically: the relationship between firmware noise-filter architecture, Gen Alpha wrist-motion dynamics, and false-positive pairing rates in a dense multi-device EMI environment cannot be determined from existing literature or professional expertise alone.</w:t>
      </w:r>
    </w:p>
    <w:p>
      <w:r>
        <w:t xml:space="preserve"/>
      </w:r>
    </w:p>
    <w:p>
      <w:pPr>
        <w:spacing w:after="120"/>
      </w:pPr>
      <w:r>
        <w:rPr>
          <w:b/>
          <w:bCs/>
          <w:sz w:val="20"/>
          <w:szCs w:val="20"/>
        </w:rPr>
        <w:t xml:space="preserve">What variables or parameters are involved in the hypothesis and how do they affect each other?</w:t>
      </w:r>
    </w:p>
    <w:p>
      <w:pPr>
        <w:spacing w:after="120"/>
      </w:pPr>
      <w:r>
        <w:rPr>
          <w:b w:val="false"/>
          <w:bCs w:val="false"/>
          <w:sz w:val="20"/>
          <w:szCs w:val="20"/>
        </w:rPr>
        <w:t xml:space="preserve">The primary variable is the firmware noise-filtering algorithm, tested across four iterations (Baseline A, Moving Average B, Kalman C, Hybrid D). Secondary variables include the moving average window size (4–16 samples), Kalman process noise Q and measurement noise R (tuned for Gen Alpha motor patterns), and the spike-gate threshold (20–100µT). These interact to determine the noise floor of the filtered signal, which in turn determines whether the pairing state machine (tested across three architectural variants: simple threshold V1, dwell-time V2, and Z-axis directional lock V3) triggers a pairing event correctly or incorrectly. The Z-axis dominance fraction in V3 (60–80%) is an additional secondary variable that affects spatial discriminability between intentional pairing gestures and ambient interference.</w:t>
      </w:r>
    </w:p>
    <w:p>
      <w:r>
        <w:t xml:space="preserve"/>
      </w:r>
    </w:p>
    <w:p>
      <w:pPr>
        <w:spacing w:after="120"/>
      </w:pPr>
      <w:r>
        <w:rPr>
          <w:b/>
          <w:bCs/>
          <w:sz w:val="20"/>
          <w:szCs w:val="20"/>
        </w:rPr>
        <w:t xml:space="preserve">How will the hypothesis be measured in the experiment?</w:t>
      </w:r>
    </w:p>
    <w:p>
      <w:pPr>
        <w:spacing w:after="120"/>
      </w:pPr>
      <w:r>
        <w:rPr>
          <w:b w:val="false"/>
          <w:bCs w:val="false"/>
          <w:sz w:val="20"/>
          <w:szCs w:val="20"/>
        </w:rPr>
        <w:t xml:space="preserve">Hypothesis A was measured by pairing success rate (successful pairings / intended pairing attempts × 100%) at 0.25m, 0.5m, 0.75m, and 1.0m, in static and dynamic (walking, playground activity) conditions with up to 30 concurrent devices. Hypothesis B was measured by false-positive rate (unintended pairing events / EMI injection events × 100%) across all filter and state machine combinations, logged to UART and Git-tagged per iteration. Hypothesis C was measured by per-unit BOM cost calculation from contract manufacturer quotations.</w:t>
      </w:r>
    </w:p>
    <w:p>
      <w:r>
        <w:t xml:space="preserve"/>
      </w:r>
    </w:p>
    <w:p>
      <w:pPr>
        <w:spacing w:after="120"/>
      </w:pPr>
      <w:r>
        <w:rPr>
          <w:b/>
          <w:bCs/>
          <w:sz w:val="20"/>
          <w:szCs w:val="20"/>
        </w:rPr>
        <w:t xml:space="preserve">How can the hypothesis be validated? How can it be nullified?</w:t>
      </w:r>
    </w:p>
    <w:p>
      <w:pPr>
        <w:spacing w:after="120"/>
      </w:pPr>
      <w:r>
        <w:rPr>
          <w:b w:val="false"/>
          <w:bCs w:val="false"/>
          <w:sz w:val="20"/>
          <w:szCs w:val="20"/>
        </w:rPr>
        <w:t xml:space="preserve">The hypothesis is validated if: (A) pairing success rate reaches ≥95% at 1m across both static and dynamic multi-device test conditions; (B) at least one filter iteration achieves &lt;2% false-positive rate in the 10-device concurrent test; (C) BOM cost falls within the target range established by the production review. The hypothesis is nullified if none of the four filter iterations achieve the false-positive threshold, or if pairing success at 1m cannot reach 95% across all state machine variants, indicating that the magnetic handshake approach requires fundamental re-architecture or a different sensor technology.</w:t>
      </w:r>
    </w:p>
    <w:p>
      <w:r>
        <w:t xml:space="preserve"/>
      </w:r>
    </w:p>
    <w:p>
      <w:pPr>
        <w:pStyle w:val="Heading2"/>
      </w:pPr>
      <w:r>
        <w:rPr>
          <w:b/>
          <w:bCs/>
          <w:sz w:val="24"/>
          <w:szCs w:val="24"/>
        </w:rPr>
        <w:t xml:space="preserve">Generation of New Knowledge</w:t>
      </w:r>
    </w:p>
    <w:p>
      <w:pPr>
        <w:spacing w:after="80"/>
      </w:pPr>
      <w:r>
        <w:rPr>
          <w:b/>
          <w:bCs/>
          <w:sz w:val="20"/>
          <w:szCs w:val="20"/>
        </w:rPr>
        <w:t xml:space="preserve">A. </w:t>
      </w:r>
      <w:r>
        <w:rPr>
          <w:sz w:val="20"/>
          <w:szCs w:val="20"/>
        </w:rPr>
        <w:t xml:space="preserve">Was this activity undertaken for the main purpose of generating new knowledge? Y</w:t>
      </w:r>
    </w:p>
    <w:p>
      <w:r>
        <w:t xml:space="preserve"/>
      </w:r>
    </w:p>
    <w:p>
      <w:pPr>
        <w:spacing w:after="120"/>
      </w:pPr>
      <w:r>
        <w:rPr>
          <w:b/>
          <w:bCs/>
          <w:sz w:val="20"/>
          <w:szCs w:val="20"/>
        </w:rPr>
        <w:t xml:space="preserve">B. What New Knowledge was this Core Activity intended to produce?</w:t>
      </w:r>
    </w:p>
    <w:p>
      <w:pPr>
        <w:spacing w:after="120"/>
      </w:pPr>
      <w:r>
        <w:rPr>
          <w:b w:val="false"/>
          <w:bCs w:val="false"/>
          <w:sz w:val="20"/>
          <w:szCs w:val="20"/>
        </w:rPr>
        <w:t xml:space="preserve">Through this activity, we generated new knowledge in the characterisation of 3D magnetic sensor firmware behaviour under real-world multi-device electromagnetic interference conditions specific to Generation Alpha wearable use cases. Our new knowledge is different from existing published work because it addresses the intersection of: (i) miniaturised 3D Hall-effect sensing in a child-safe, wrist-worn form factor; (ii) firmware noise-filtering architectures calibrated to Gen Alpha wrist-motion dynamics rather than adult or industrial baselines; and (iii) pairing reliability in dense peer-device environments (classroom/playground) rather than isolated laboratory settings. No published characterisation existed for this specific combination of sensor, user demographic, form factor, and deployment environment.</w:t>
      </w:r>
    </w:p>
    <w:p>
      <w:r>
        <w:t xml:space="preserve"/>
      </w:r>
    </w:p>
    <w:p>
      <w:pPr>
        <w:pStyle w:val="Heading2"/>
      </w:pPr>
      <w:r>
        <w:rPr>
          <w:b/>
          <w:bCs/>
          <w:sz w:val="24"/>
          <w:szCs w:val="24"/>
        </w:rPr>
        <w:t xml:space="preserve">Outcome Unknown</w:t>
      </w:r>
    </w:p>
    <w:p>
      <w:pPr>
        <w:spacing w:after="120"/>
      </w:pPr>
      <w:r>
        <w:rPr>
          <w:b/>
          <w:bCs/>
          <w:sz w:val="20"/>
          <w:szCs w:val="20"/>
        </w:rPr>
        <w:t xml:space="preserve">A. How was it determined that the outcome of the activity could not be known in advance?</w:t>
      </w:r>
    </w:p>
    <w:p>
      <w:pPr>
        <w:spacing w:after="120"/>
      </w:pPr>
      <w:r>
        <w:rPr>
          <w:b w:val="false"/>
          <w:bCs w:val="false"/>
          <w:sz w:val="20"/>
          <w:szCs w:val="20"/>
        </w:rPr>
        <w:t xml:space="preserve">✓  There was no applicable information in scientific, technical professional literature or patents</w:t>
      </w:r>
    </w:p>
    <w:p>
      <w:pPr>
        <w:spacing w:after="120"/>
      </w:pPr>
      <w:r>
        <w:rPr>
          <w:b w:val="false"/>
          <w:bCs w:val="false"/>
          <w:sz w:val="20"/>
          <w:szCs w:val="20"/>
        </w:rPr>
        <w:t xml:space="preserve">✓  Experts in the field provided advice that there wasn’t a solution that could be applied</w:t>
      </w:r>
    </w:p>
    <w:p>
      <w:pPr>
        <w:spacing w:after="120"/>
      </w:pPr>
      <w:r>
        <w:rPr>
          <w:b w:val="false"/>
          <w:bCs w:val="false"/>
          <w:sz w:val="20"/>
          <w:szCs w:val="20"/>
        </w:rPr>
        <w:t xml:space="preserve">✓  There wasn’t a way to adapt solutions from other companies in and out of Australia</w:t>
      </w:r>
    </w:p>
    <w:p>
      <w:r>
        <w:t xml:space="preserve"/>
      </w:r>
    </w:p>
    <w:p>
      <w:pPr>
        <w:spacing w:after="120"/>
      </w:pPr>
      <w:r>
        <w:rPr>
          <w:b w:val="false"/>
          <w:bCs w:val="false"/>
          <w:sz w:val="20"/>
          <w:szCs w:val="20"/>
        </w:rPr>
        <w:t xml:space="preserve">The collective knowledge and technical skills of the development team were inadequate to predetermine the outcome of the R&amp;D activity. The FY2025 program demonstrated partial functionality at close range but explicitly left unresolved the question of whether the firmware could achieve &lt;2% false positives in a multi-device environment, and whether any of the three pairing state machine architectures could sustain ≥95% pairing success at 1 metre under dynamic real-world conditions. These are not questions resolvable by derivation from the FY2025 results — they required systematic firmware iteration and real-world testing at scale.</w:t>
      </w:r>
    </w:p>
    <w:p>
      <w:pPr>
        <w:spacing w:after="120"/>
      </w:pPr>
      <w:r>
        <w:rPr>
          <w:b w:val="false"/>
          <w:bCs w:val="false"/>
          <w:sz w:val="20"/>
          <w:szCs w:val="20"/>
        </w:rPr>
        <w:t xml:space="preserve">Timothy Dwyer has substantial experience in embedded systems and wearable hardware development. However, no prior professional experience existed with Gen Alpha-specific magnetic pairing systems in peer-dense environments, nor with calibrating Kalman filter noise parameters to the specific wrist-motion biomechanics of children aged 8–15. Industry experts consulted in FY2025 confirmed that no published solution addresses this combination.</w:t>
      </w:r>
    </w:p>
    <w:p>
      <w:r>
        <w:t xml:space="preserve"/>
      </w:r>
    </w:p>
    <w:p>
      <w:pPr>
        <w:spacing w:after="120"/>
      </w:pPr>
      <w:r>
        <w:rPr>
          <w:b/>
          <w:bCs/>
          <w:sz w:val="20"/>
          <w:szCs w:val="20"/>
        </w:rPr>
        <w:t xml:space="preserve">B. Explain what sources were investigated and what information was found to demonstrate why a competent professional could not have determined the outcome in advance.</w:t>
      </w:r>
    </w:p>
    <w:p>
      <w:pPr>
        <w:spacing w:after="120"/>
      </w:pPr>
      <w:r>
        <w:rPr>
          <w:b w:val="false"/>
          <w:bCs w:val="false"/>
          <w:sz w:val="20"/>
          <w:szCs w:val="20"/>
        </w:rPr>
        <w:t xml:space="preserve">We reviewed academic literature on 3D Hall-effect sensing (Melexis application notes, IEEE Magnetics Society publications), Kalman filter implementations for wearable IMU applications (published in IEEE Transactions on Biomedical Engineering), and EMI characterisation for compact wireless devices. We found that: (a) published Kalman filter parameters are calibrated for adult biomechanics and industrial applications; (b) multi-device magnetic interference profiles in peer-dense environments (classrooms, playgrounds) have not been published for 3D Hall-effect sensors at the frequencies and field strengths used by the MLX90393 in the Zemi configuration; and (c) child-specific wrist-motion dynamics have not been characterised for magnetic pairing calibration purposes. Therefore, neither the optimal filter parameters nor the achievable false-positive rate in a multi-device environment could be determined in advance.</w:t>
      </w:r>
    </w:p>
    <w:p>
      <w:r>
        <w:t xml:space="preserve"/>
      </w:r>
    </w:p>
    <w:p>
      <w:pPr>
        <w:pStyle w:val="Heading2"/>
      </w:pPr>
      <w:r>
        <w:rPr>
          <w:b/>
          <w:bCs/>
          <w:sz w:val="24"/>
          <w:szCs w:val="24"/>
        </w:rPr>
        <w:t xml:space="preserve">Experimentation</w:t>
      </w:r>
    </w:p>
    <w:p>
      <w:pPr>
        <w:spacing w:after="120"/>
      </w:pPr>
      <w:r>
        <w:rPr>
          <w:b/>
          <w:bCs/>
          <w:sz w:val="20"/>
          <w:szCs w:val="20"/>
        </w:rPr>
        <w:t xml:space="preserve">What was the experiment and how did it test the hypothesis?</w:t>
      </w:r>
    </w:p>
    <w:p>
      <w:pPr>
        <w:spacing w:after="120"/>
      </w:pPr>
      <w:r>
        <w:rPr>
          <w:b w:val="false"/>
          <w:bCs w:val="false"/>
          <w:sz w:val="20"/>
          <w:szCs w:val="20"/>
        </w:rPr>
        <w:t xml:space="preserve">Our experiment was structured as a 4-phase, 24-week program testing two nested sets of variables: four noise filter firmware iterations (A–D) against three pairing state machine architectural variants (V1–V3), forming a 4×3 test matrix of 12 conditions. Each condition was evaluated against the pairing success rate and false-positive rate criteria in progressively more complex real-world environments.</w:t>
      </w:r>
    </w:p>
    <w:p>
      <w:r>
        <w:t xml:space="preserve"/>
      </w:r>
    </w:p>
    <w:p>
      <w:pPr>
        <w:spacing w:after="120"/>
      </w:pPr>
      <w:r>
        <w:rPr>
          <w:b/>
          <w:bCs/>
          <w:sz w:val="20"/>
          <w:szCs w:val="20"/>
        </w:rPr>
        <w:t xml:space="preserve">What is the goal of the experiment?</w:t>
      </w:r>
    </w:p>
    <w:p>
      <w:pPr>
        <w:spacing w:after="120"/>
      </w:pPr>
      <w:r>
        <w:rPr>
          <w:b w:val="false"/>
          <w:bCs w:val="false"/>
          <w:sz w:val="20"/>
          <w:szCs w:val="20"/>
        </w:rPr>
        <w:t xml:space="preserve">To determine whether a combination of noise-filtering firmware and pairing state machine architecture can achieve ≥95% pairing success at 1m and &lt;2% false-positive rate in a 10-device concurrent real-world environment, and to identify the optimal combination for integration into the production Zemi device.</w:t>
      </w:r>
    </w:p>
    <w:p>
      <w:r>
        <w:t xml:space="preserve"/>
      </w:r>
    </w:p>
    <w:p>
      <w:pPr>
        <w:spacing w:after="120"/>
      </w:pPr>
      <w:r>
        <w:rPr>
          <w:b/>
          <w:bCs/>
          <w:sz w:val="20"/>
          <w:szCs w:val="20"/>
        </w:rPr>
        <w:t xml:space="preserve">How was the experiment conducted?</w:t>
      </w:r>
    </w:p>
    <w:p>
      <w:pPr>
        <w:spacing w:after="120"/>
      </w:pPr>
      <w:r>
        <w:rPr>
          <w:b/>
          <w:bCs/>
          <w:sz w:val="20"/>
          <w:szCs w:val="20"/>
        </w:rPr>
        <w:t xml:space="preserve">Phase 1 — Firmware Architecture</w:t>
      </w:r>
    </w:p>
    <w:p>
      <w:pPr>
        <w:spacing w:after="120"/>
      </w:pPr>
      <w:r>
        <w:rPr>
          <w:b w:val="false"/>
          <w:bCs w:val="false"/>
          <w:sz w:val="20"/>
          <w:szCs w:val="20"/>
        </w:rPr>
        <w:t xml:space="preserve">Four noise filter firmware iterations and three pairing state machine variants were developed and committed to the Zemi-rnd GitHub repository. Iteration D (Hybrid Spike-Gate + Kalman, tagged ca1-exp1.1-iteration-d) and state machine V3 (Z-Axis Lock + 150ms dwell, tagged ca1-exp1.2-v3-zlock) emerged as the highest-performing combination in Phase 1 simulation.</w:t>
      </w:r>
    </w:p>
    <w:p>
      <w:r>
        <w:t xml:space="preserve"/>
      </w:r>
    </w:p>
    <w:p>
      <w:pPr>
        <w:spacing w:after="120"/>
      </w:pPr>
      <w:r>
        <w:rPr>
          <w:b/>
          <w:bCs/>
          <w:sz w:val="20"/>
          <w:szCs w:val="20"/>
        </w:rPr>
        <w:t xml:space="preserve">Phase 2 — Controlled Lab Testing</w:t>
      </w:r>
    </w:p>
    <w:p>
      <w:pPr>
        <w:spacing w:after="120"/>
      </w:pPr>
      <w:r>
        <w:rPr>
          <w:b w:val="false"/>
          <w:bCs w:val="false"/>
          <w:sz w:val="20"/>
          <w:szCs w:val="20"/>
        </w:rPr>
        <w:t xml:space="preserve">Single-device range and stability tests at 0.25m, 0.5m, 0.75m, and 1.0m in a lab environment. EMI interference profiling with injected signals from 10 concurrent transmitters. Each of the 12 filter×PSM conditions run per test session. Results logged to UART and cross-referenced with firmware Git commit history.</w:t>
      </w:r>
    </w:p>
    <w:p>
      <w:r>
        <w:t xml:space="preserve"/>
      </w:r>
    </w:p>
    <w:p>
      <w:pPr>
        <w:spacing w:after="120"/>
      </w:pPr>
      <w:r>
        <w:rPr>
          <w:b/>
          <w:bCs/>
          <w:sz w:val="20"/>
          <w:szCs w:val="20"/>
        </w:rPr>
        <w:t xml:space="preserve">Phase 3 — Scale Testing (Days 4–27, May 2026)</w:t>
      </w:r>
    </w:p>
    <w:p>
      <w:pPr>
        <w:spacing w:after="120"/>
      </w:pPr>
      <w:r>
        <w:rPr>
          <w:b w:val="false"/>
          <w:bCs w:val="false"/>
          <w:sz w:val="20"/>
          <w:szCs w:val="20"/>
        </w:rPr>
        <w:t xml:space="preserve">30 prototype units deployed across classroom and playground environments with Generation Alpha participants (ages 8–15). Static testing at 0.5m and 1.0m, and dynamic testing (walking, backpack EMI, active playground). D+V3.1 (static mode, 150ms dwell) was validated first, followed by D+V3.2 (dynamic mode, 100ms dwell + motion flag &gt;15 deg/s) to address marginal performance in active playground conditions. Phase 3 completed with D+V3.2 achieving 96.5% pairing success and 0.0% false-positive rate.</w:t>
      </w:r>
    </w:p>
    <w:p>
      <w:r>
        <w:t xml:space="preserve"/>
      </w:r>
    </w:p>
    <w:p>
      <w:pPr>
        <w:spacing w:after="120"/>
      </w:pPr>
      <w:r>
        <w:rPr>
          <w:b/>
          <w:bCs/>
          <w:sz w:val="20"/>
          <w:szCs w:val="20"/>
        </w:rPr>
        <w:t xml:space="preserve">Phase 4 — Production Review (Days 28–38, May–June 2026)</w:t>
      </w:r>
    </w:p>
    <w:p>
      <w:pPr>
        <w:spacing w:after="120"/>
      </w:pPr>
      <w:r>
        <w:rPr>
          <w:b w:val="false"/>
          <w:bCs w:val="false"/>
          <w:sz w:val="20"/>
          <w:szCs w:val="20"/>
        </w:rPr>
        <w:t xml:space="preserve">BOM v1.0 finalised with two qualified suppliers per component. AS/NZS 8124 child-safety compliance confirmed. IP67 environmental protection validated via NATA-accredited laboratory. Production firmware locked as D+V3.2-PROD.</w:t>
      </w:r>
    </w:p>
    <w:p>
      <w:r>
        <w:t xml:space="preserve"/>
      </w:r>
    </w:p>
    <w:p>
      <w:pPr>
        <w:spacing w:after="120"/>
      </w:pPr>
      <w:r>
        <w:rPr>
          <w:b/>
          <w:bCs/>
          <w:sz w:val="20"/>
          <w:szCs w:val="20"/>
        </w:rPr>
        <w:t xml:space="preserve">How did the experiment test the specific variables or parameters of the hypothesis?</w:t>
      </w:r>
    </w:p>
    <w:p>
      <w:pPr>
        <w:spacing w:after="120"/>
      </w:pPr>
      <w:r>
        <w:rPr>
          <w:b w:val="false"/>
          <w:bCs w:val="false"/>
          <w:sz w:val="20"/>
          <w:szCs w:val="20"/>
        </w:rPr>
        <w:t xml:space="preserve">The 4×3 test matrix directly crossed the primary variable (filter algorithm type: A/B/C/D) against the state machine variant (V1/V2/V3), measuring false-positive rate and success rate for each combination. The Gen Alpha participant cohort in Phase 3 confirmed that firmware thresholds calibrated for adult motion baselines in FY25 required iteration for the faster, more impulsive wrist-motion patterns of 8–15-year-olds — which D+V3.2 addressed.</w:t>
      </w:r>
    </w:p>
    <w:p>
      <w:r>
        <w:t xml:space="preserve"/>
      </w:r>
    </w:p>
    <w:p>
      <w:pPr>
        <w:pStyle w:val="Heading2"/>
      </w:pPr>
      <w:r>
        <w:rPr>
          <w:b/>
          <w:bCs/>
          <w:sz w:val="24"/>
          <w:szCs w:val="24"/>
        </w:rPr>
        <w:t xml:space="preserve">Results &amp; Evaluation</w:t>
      </w:r>
    </w:p>
    <w:p>
      <w:pPr>
        <w:spacing w:after="120"/>
      </w:pPr>
      <w:r>
        <w:rPr>
          <w:b/>
          <w:bCs/>
          <w:sz w:val="20"/>
          <w:szCs w:val="20"/>
        </w:rPr>
        <w:t xml:space="preserve">What were the results of the experimentation?</w:t>
      </w:r>
    </w:p>
    <w:p>
      <w:pPr>
        <w:spacing w:after="120"/>
      </w:pPr>
      <w:r>
        <w:rPr>
          <w:b w:val="false"/>
          <w:bCs w:val="false"/>
          <w:sz w:val="20"/>
          <w:szCs w:val="20"/>
        </w:rPr>
        <w:t xml:space="preserve">All four phases are complete. Key quantitative results from Phases 2–4 hardware testing are summarised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1360"/>
        <w:gridCol w:w="2000"/>
      </w:tblGrid>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Day / Tag</w:t>
            </w:r>
          </w:p>
        </w:tc>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Type</w:t>
            </w:r>
          </w:p>
        </w:tc>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Success Rate</w:t>
            </w:r>
          </w:p>
        </w:tc>
        <w:tc>
          <w:tcPr>
            <w:tcW w:type="dxa" w:w="1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FP Rate</w:t>
            </w:r>
          </w:p>
        </w:tc>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Notes</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4  ca1-p3-static-classroom-01</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Static 0.5m batch 1</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96.7%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D+V3.1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5  ca1-p3-static-classroom-02</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Static 0.5m batch 2</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97.5%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D+V3.1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6  ca1-p3-static-classroom-03</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Static 1.0m batch</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95.8%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D+V3.1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8  ca1-p3-dynamic-walk-01</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Dynamic walking</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96.0%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D+V3.1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10  ca1-p3-dynamic-walk-03</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Backpack EMI test</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95.5%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D+V3.1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11  ca1-p3-dynamic-play-01</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Active playground D+V3.1</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94.5% ⚠️ marginal</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Led to D+V3.2 iteration</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13  ca1-p3-dynamic-play-03</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Active playground D+V3.2</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96.5%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Final firmware confirmed</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4  IP67 / AS/NZS 8124</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Production compliance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NATA lab; firmware locked D+V3.2-PROD</w:t>
            </w:r>
          </w:p>
        </w:tc>
      </w:tr>
    </w:tbl>
    <w:p>
      <w:r>
        <w:t xml:space="preserve"/>
      </w:r>
    </w:p>
    <w:p>
      <w:pPr>
        <w:spacing w:after="120"/>
      </w:pPr>
      <w:r>
        <w:rPr>
          <w:b/>
          <w:bCs/>
          <w:sz w:val="20"/>
          <w:szCs w:val="20"/>
        </w:rPr>
        <w:t xml:space="preserve">How were the results evaluated?</w:t>
      </w:r>
    </w:p>
    <w:p>
      <w:pPr>
        <w:spacing w:after="120"/>
      </w:pPr>
      <w:r>
        <w:rPr>
          <w:b w:val="false"/>
          <w:bCs w:val="false"/>
          <w:sz w:val="20"/>
          <w:szCs w:val="20"/>
        </w:rPr>
        <w:t xml:space="preserve">Results were evaluated against two primary criteria: (1) pairing success rate ≥95% at 1m in the 10-device concurrent environment; (2) false-positive rate &lt;2% across the same environment. Secondary evaluation metrics included time-to-pair (ms), 8-hour continuous stability (zero firmware crashes or resets), and BOM cost (Phase 4). All criteria were met.</w:t>
      </w:r>
    </w:p>
    <w:p>
      <w:r>
        <w:t xml:space="preserve"/>
      </w:r>
    </w:p>
    <w:p>
      <w:pPr>
        <w:spacing w:after="120"/>
      </w:pPr>
      <w:r>
        <w:rPr>
          <w:b/>
          <w:bCs/>
          <w:sz w:val="20"/>
          <w:szCs w:val="20"/>
        </w:rPr>
        <w:t xml:space="preserve">What was the evaluation/analysis based on the results?</w:t>
      </w:r>
    </w:p>
    <w:p>
      <w:pPr>
        <w:spacing w:after="120"/>
      </w:pPr>
      <w:r>
        <w:rPr>
          <w:b w:val="false"/>
          <w:bCs w:val="false"/>
          <w:sz w:val="20"/>
          <w:szCs w:val="20"/>
        </w:rPr>
        <w:t xml:space="preserve">The evaluation compared each filter×PSM combination against the success criteria and identified D+V3.2 as the optimal production combination. The Day 11 marginal result (94.5% in active playground conditions with D+V3.1) was a genuine scientific finding that necessitated D+V3.2 iteration — specifically the addition of a motion flag (&gt;15 deg/s) and reduction of dynamic dwell time to 100ms. This iteration and its re-testing constitutes substantive R&amp;D evidence of the hypothesis-driven experimental process.</w:t>
      </w:r>
    </w:p>
    <w:p>
      <w:r>
        <w:t xml:space="preserve"/>
      </w:r>
    </w:p>
    <w:p>
      <w:pPr>
        <w:pStyle w:val="Heading2"/>
      </w:pPr>
      <w:r>
        <w:rPr>
          <w:b/>
          <w:bCs/>
          <w:sz w:val="24"/>
          <w:szCs w:val="24"/>
        </w:rPr>
        <w:t xml:space="preserve">Conclusion</w:t>
      </w:r>
    </w:p>
    <w:p>
      <w:pPr>
        <w:spacing w:after="120"/>
      </w:pPr>
      <w:r>
        <w:rPr>
          <w:b/>
          <w:bCs/>
          <w:sz w:val="20"/>
          <w:szCs w:val="20"/>
        </w:rPr>
        <w:t xml:space="preserve">What conclusions were reached?</w:t>
      </w:r>
    </w:p>
    <w:p>
      <w:pPr>
        <w:spacing w:after="120"/>
      </w:pPr>
      <w:r>
        <w:rPr>
          <w:b w:val="false"/>
          <w:bCs w:val="false"/>
          <w:sz w:val="20"/>
          <w:szCs w:val="20"/>
        </w:rPr>
        <w:t xml:space="preserve">All four phases of the CA1 experimental program are complete as of 30 June 2026. The production firmware D+V3.2-PROD is locked and validated. Hypothesis A is validated: pairing success rate achieved 96.5% in active multi-device playground conditions, exceeding the ≥95% target. Hypothesis B is validated: false-positive rate was 0.0% across all 600 attempts in static and dynamic test conditions, well below the &lt;2% target. Hypothesis C is confirmed: BOM v1.0 costing has been finalised. IP67 and AS/NZS 8124 compliance are confirmed.</w:t>
      </w:r>
    </w:p>
    <w:p>
      <w:r>
        <w:t xml:space="preserve"/>
      </w:r>
    </w:p>
    <w:p>
      <w:pPr>
        <w:spacing w:after="120"/>
      </w:pPr>
      <w:r>
        <w:rPr>
          <w:b/>
          <w:bCs/>
          <w:sz w:val="20"/>
          <w:szCs w:val="20"/>
        </w:rPr>
        <w:t xml:space="preserve">How do the conclusions validate/nullify the hypothesis?</w:t>
      </w:r>
    </w:p>
    <w:p>
      <w:pPr>
        <w:spacing w:after="120"/>
      </w:pPr>
      <w:r>
        <w:rPr>
          <w:b w:val="false"/>
          <w:bCs w:val="false"/>
          <w:sz w:val="20"/>
          <w:szCs w:val="20"/>
        </w:rPr>
        <w:t xml:space="preserve">Hypotheses A and B are both validated. The experimental program demonstrated that Iteration D (Hybrid Spike-Gate + Kalman) combined with state machine V3 (Z-Axis Lock + dwell) — iterated to D+V3.2 for dynamic conditions — achieves the required performance in real-world multi-device Gen Alpha environments. The marginal Day 11 result and subsequent D+V3.2 firmware iteration provide direct evidence of the genuine scientific uncertainty that characterises this activity as R&amp;D.</w:t>
      </w:r>
    </w:p>
    <w:p>
      <w:r>
        <w:t xml:space="preserve"/>
      </w:r>
    </w:p>
    <w:p>
      <w:pPr>
        <w:spacing w:after="120"/>
      </w:pPr>
      <w:r>
        <w:rPr>
          <w:b/>
          <w:bCs/>
          <w:sz w:val="20"/>
          <w:szCs w:val="20"/>
        </w:rPr>
        <w:t xml:space="preserve">Does the conclusion indicate that the knowledge gap or technical challenge was resolved?</w:t>
      </w:r>
    </w:p>
    <w:p>
      <w:pPr>
        <w:spacing w:after="120"/>
      </w:pPr>
      <w:r>
        <w:rPr>
          <w:b w:val="false"/>
          <w:bCs w:val="false"/>
          <w:sz w:val="20"/>
          <w:szCs w:val="20"/>
        </w:rPr>
        <w:t xml:space="preserve">Yes. The knowledge gap identified in FY2025 — specifically, whether custom firmware noise-filtering could achieve ≥95% pairing success and &lt;2% false-positive rate in a real-world multi-device Gen Alpha environment — has been resolved. The answer is confirmed positive for the D+V3.2 firmware architecture, and the characterisation of failure modes in earlier iterations (particularly D+V3.1 under high-motion playground conditions) constitutes new knowledge generated through the experimental program.</w:t>
      </w:r>
    </w:p>
    <w:p>
      <w:r>
        <w:t xml:space="preserve"/>
      </w:r>
    </w:p>
    <w:p>
      <w:pPr>
        <w:pStyle w:val="Heading2"/>
      </w:pPr>
      <w:r>
        <w:rPr>
          <w:b/>
          <w:bCs/>
          <w:sz w:val="24"/>
          <w:szCs w:val="24"/>
        </w:rPr>
        <w:t xml:space="preserve">Supporting Records</w:t>
      </w:r>
    </w:p>
    <w:p>
      <w:pPr>
        <w:spacing w:after="120"/>
      </w:pPr>
      <w:r>
        <w:rPr>
          <w:b/>
          <w:bCs/>
          <w:sz w:val="20"/>
          <w:szCs w:val="20"/>
        </w:rPr>
        <w:t xml:space="preserve">A. What evidence did the entity keep about this activity? Select all that apply:</w:t>
      </w:r>
    </w:p>
    <w:p>
      <w:pPr>
        <w:spacing w:after="120"/>
      </w:pPr>
      <w:r>
        <w:rPr>
          <w:b w:val="false"/>
          <w:bCs w:val="false"/>
          <w:sz w:val="20"/>
          <w:szCs w:val="20"/>
        </w:rPr>
        <w:t xml:space="preserve">✓  Evidence of information that was looked at and enquiries that were made to find existing knowledge</w:t>
      </w:r>
    </w:p>
    <w:p>
      <w:pPr>
        <w:spacing w:after="120"/>
      </w:pPr>
      <w:r>
        <w:rPr>
          <w:b w:val="false"/>
          <w:bCs w:val="false"/>
          <w:sz w:val="20"/>
          <w:szCs w:val="20"/>
        </w:rPr>
        <w:t xml:space="preserve">✓  Evidence showing that conducting the core activity was the only way to generate the new knowledge</w:t>
      </w:r>
    </w:p>
    <w:p>
      <w:pPr>
        <w:spacing w:after="120"/>
      </w:pPr>
      <w:r>
        <w:rPr>
          <w:b w:val="false"/>
          <w:bCs w:val="false"/>
          <w:sz w:val="20"/>
          <w:szCs w:val="20"/>
        </w:rPr>
        <w:t xml:space="preserve">✓  Document(s) outlining the design of the hypothesis and experiment(s)</w:t>
      </w:r>
    </w:p>
    <w:p>
      <w:pPr>
        <w:spacing w:after="120"/>
      </w:pPr>
      <w:r>
        <w:rPr>
          <w:b w:val="false"/>
          <w:bCs w:val="false"/>
          <w:sz w:val="20"/>
          <w:szCs w:val="20"/>
        </w:rPr>
        <w:t xml:space="preserve">✓  Documented results and evaluation of the experiment</w:t>
      </w:r>
    </w:p>
    <w:p>
      <w:pPr>
        <w:spacing w:after="120"/>
      </w:pPr>
      <w:r>
        <w:rPr>
          <w:b w:val="false"/>
          <w:bCs w:val="false"/>
          <w:sz w:val="20"/>
          <w:szCs w:val="20"/>
        </w:rPr>
        <w:t xml:space="preserve">✓  GitHub repository commit history with dated, tagged firmware iterations (tkhdwyer82/Zemi-rnd) — 86 daily commits across Days 1–61</w:t>
      </w:r>
    </w:p>
    <w:p>
      <w:pPr>
        <w:spacing w:after="120"/>
      </w:pPr>
      <w:r>
        <w:rPr>
          <w:b w:val="false"/>
          <w:bCs w:val="false"/>
          <w:sz w:val="20"/>
          <w:szCs w:val="20"/>
        </w:rPr>
        <w:t xml:space="preserve">✓  Firmware experiment log: firmware/core_activity_1_magnetic_sensor/docs/experiment_log.md</w:t>
      </w:r>
    </w:p>
    <w:p>
      <w:pPr>
        <w:spacing w:after="120"/>
      </w:pPr>
      <w:r>
        <w:rPr>
          <w:b w:val="false"/>
          <w:bCs w:val="false"/>
          <w:sz w:val="20"/>
          <w:szCs w:val="20"/>
        </w:rPr>
        <w:t xml:space="preserve">✓  UART session logs: raw firmware output per test session with timestamps and pass/fail results</w:t>
      </w:r>
    </w:p>
    <w:p>
      <w:pPr>
        <w:spacing w:after="120"/>
      </w:pPr>
      <w:r>
        <w:rPr>
          <w:b w:val="false"/>
          <w:bCs w:val="false"/>
          <w:sz w:val="20"/>
          <w:szCs w:val="20"/>
        </w:rPr>
        <w:t xml:space="preserve">✓  Daily timesheets cross-referenced to Core Activity 1 (CA1: 4h/day across 61 days = 244h total)</w:t>
      </w:r>
    </w:p>
    <w:p>
      <w:pPr>
        <w:spacing w:after="120"/>
      </w:pPr>
      <w:r>
        <w:rPr>
          <w:b w:val="false"/>
          <w:bCs w:val="false"/>
          <w:sz w:val="20"/>
          <w:szCs w:val="20"/>
        </w:rPr>
        <w:t xml:space="preserve">✓  ClickUp task records: per-day task entries with activity codes, Slack thread references, and Git tags</w:t>
      </w:r>
    </w:p>
    <w:p>
      <w:pPr>
        <w:spacing w:after="120"/>
      </w:pPr>
      <w:r>
        <w:rPr>
          <w:b w:val="false"/>
          <w:bCs w:val="false"/>
          <w:sz w:val="20"/>
          <w:szCs w:val="20"/>
        </w:rPr>
        <w:t xml:space="preserve">✓  Slack conversation records (Tim Dwyer + Lukas Kovac): daily contemporaneous technical discussion</w:t>
      </w:r>
    </w:p>
    <w:p>
      <w:pPr>
        <w:spacing w:after="120"/>
      </w:pPr>
      <w:r>
        <w:rPr>
          <w:b w:val="false"/>
          <w:bCs w:val="false"/>
          <w:sz w:val="20"/>
          <w:szCs w:val="20"/>
        </w:rPr>
        <w:t xml:space="preserve">✓  Weekly tax invoices INV-TKD-2026-W01 through W09 specifying CA1 activity codes and Git tags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A7A" w:val="clear"/>
            <w:tcMar>
              <w:top w:type="dxa" w:w="120"/>
              <w:left w:type="dxa" w:w="160"/>
              <w:bottom w:type="dxa" w:w="120"/>
              <w:right w:type="dxa" w:w="160"/>
            </w:tcMar>
          </w:tcPr>
          <w:p>
            <w:r>
              <w:rPr>
                <w:b/>
                <w:bCs/>
                <w:color w:val="FFFFFF"/>
                <w:sz w:val="24"/>
                <w:szCs w:val="24"/>
              </w:rPr>
              <w:t xml:space="preserve">Core Activity Two: Experimentation on the Completion of the Inductive Magnetic Charging Solution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Activity Name: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Experimentation on the Completion of the Inductive Magnetic Charging Solution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Start Date: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May 2026</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End Date: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 June 2026</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Personnel:</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Timothy Dwyer (Hardware Engineer, Embedded Systems Developer, Researcher)</w:t>
            </w:r>
          </w:p>
        </w:tc>
      </w:tr>
    </w:tbl>
    <w:p>
      <w:r>
        <w:t xml:space="preserve"/>
      </w:r>
    </w:p>
    <w:p>
      <w:pPr>
        <w:pStyle w:val="Heading2"/>
      </w:pPr>
      <w:r>
        <w:rPr>
          <w:b/>
          <w:bCs/>
          <w:sz w:val="24"/>
          <w:szCs w:val="24"/>
        </w:rPr>
        <w:t xml:space="preserve">Hypothesis</w:t>
      </w:r>
    </w:p>
    <w:p>
      <w:pPr>
        <w:spacing w:after="120"/>
      </w:pPr>
      <w:r>
        <w:rPr>
          <w:b w:val="false"/>
          <w:bCs w:val="false"/>
          <w:sz w:val="20"/>
          <w:szCs w:val="20"/>
        </w:rPr>
        <w:t xml:space="preserve">In FY2025, we developed a sliding inductive power module achieving a foundational framework for wireless charging in a compact wearable form factor. The FY2025 experiment reached approximately 90% completion: resonant tuning with rigid ferrite shielding achieved &gt;75% efficiency; flexible PCB coils achieved &gt;60% efficiency; and multi-coil adaptive alignment maintained &gt;65% efficiency at 10mm misalignment. Three critical elements were explicitly identified as unresolved and carried forward: (1) real-time thermal management to maintain skin contact temperature ≤38°C; (2) flexible ferrite composite shielding in a curved wristband geometry; and (3) BLE charging status integration without interference to the inductive charging field.</w:t>
      </w:r>
    </w:p>
    <w:p>
      <w:r>
        <w:t xml:space="preserve"/>
      </w:r>
    </w:p>
    <w:p>
      <w:pPr>
        <w:spacing w:after="120"/>
      </w:pPr>
      <w:r>
        <w:rPr>
          <w:b w:val="false"/>
          <w:bCs w:val="false"/>
          <w:sz w:val="20"/>
          <w:szCs w:val="20"/>
        </w:rPr>
        <w:t xml:space="preserve">Based on the intent of this activity, we hypothesised that:</w:t>
      </w:r>
    </w:p>
    <w:p>
      <w:pPr>
        <w:spacing w:after="80"/>
      </w:pPr>
      <w:r>
        <w:rPr>
          <w:b/>
          <w:bCs/>
          <w:sz w:val="20"/>
          <w:szCs w:val="20"/>
        </w:rPr>
        <w:t xml:space="preserve">(A) </w:t>
      </w:r>
      <w:r>
        <w:rPr>
          <w:sz w:val="20"/>
          <w:szCs w:val="20"/>
        </w:rPr>
        <w:t xml:space="preserve">Firmware-controlled power throttling using a thermal management algorithm (tested across Fixed Ceiling, PID, and Predictive Ramp strategies) will maintain device surface temperature ≤38°C during a continuous 2-hour charging session, without reducing charging efficiency below 70%.</w:t>
      </w:r>
    </w:p>
    <w:p>
      <w:pPr>
        <w:spacing w:after="80"/>
      </w:pPr>
      <w:r>
        <w:rPr>
          <w:b/>
          <w:bCs/>
          <w:sz w:val="20"/>
          <w:szCs w:val="20"/>
        </w:rPr>
        <w:t xml:space="preserve">(B) </w:t>
      </w:r>
      <w:r>
        <w:rPr>
          <w:sz w:val="20"/>
          <w:szCs w:val="20"/>
        </w:rPr>
        <w:t xml:space="preserve">Replacing rigid ferrite shielding with a flexible ferrite composite material will maintain EMI attenuation at or above the FY25 rigid baseline, while allowing the charging module to conform to a 40mm-radius wristband curvature, with charging efficiency ≥70% at a 5mm coil distance.</w:t>
      </w:r>
    </w:p>
    <w:p>
      <w:pPr>
        <w:spacing w:after="80"/>
      </w:pPr>
      <w:r>
        <w:rPr>
          <w:b/>
          <w:bCs/>
          <w:sz w:val="20"/>
          <w:szCs w:val="20"/>
        </w:rPr>
        <w:t xml:space="preserve">(C) </w:t>
      </w:r>
      <w:r>
        <w:rPr>
          <w:sz w:val="20"/>
          <w:szCs w:val="20"/>
        </w:rPr>
        <w:t xml:space="preserve">A firmware-managed BLE charging status module operating at 2.4GHz can coexist with the 125kHz inductive charging field without creating measurable charging efficiency degradation (≤±3% of non-BLE baseline) or electromagnetic interference artefacts in the MLX90393 magnetic sensor readings (&lt;5µT RMS noise increase).</w:t>
      </w:r>
    </w:p>
    <w:p>
      <w:r>
        <w:t xml:space="preserve"/>
      </w:r>
    </w:p>
    <w:p>
      <w:pPr>
        <w:spacing w:after="120"/>
      </w:pPr>
      <w:r>
        <w:rPr>
          <w:b/>
          <w:bCs/>
          <w:sz w:val="20"/>
          <w:szCs w:val="20"/>
        </w:rPr>
        <w:t xml:space="preserve">What gap in knowledge was identified through research that led to the formulation of the hypothesis?</w:t>
      </w:r>
    </w:p>
    <w:p>
      <w:pPr>
        <w:spacing w:after="120"/>
      </w:pPr>
      <w:r>
        <w:rPr>
          <w:b w:val="false"/>
          <w:bCs w:val="false"/>
          <w:sz w:val="20"/>
          <w:szCs w:val="20"/>
        </w:rPr>
        <w:t xml:space="preserve">We reviewed literature on inductive charging for wearable devices, finding that published work addresses either: (a) larger form factors (Qi chargers for smartphones) where coil sizes and thermal profiles differ substantially; or (b) rigid implantable medical devices where flexibility is not required. The specific combination of flexible ferrite composites in curved wristband geometry, thermal firmware control for continuous skin-contact charging, and BLE-inductive coexistence in a compact child-wearable housing had not been published. Experts consulted could not provide a solution predetermining whether a flexible ferrite composite at the specific curvature radius of the Zemi wristband would recover efficiency to ≥70% — nor whether firmware throttling could hold temperature to ≤38°C without efficiency falling below 70%.</w:t>
      </w:r>
    </w:p>
    <w:p>
      <w:r>
        <w:t xml:space="preserve"/>
      </w:r>
    </w:p>
    <w:p>
      <w:pPr>
        <w:spacing w:after="120"/>
      </w:pPr>
      <w:r>
        <w:rPr>
          <w:b/>
          <w:bCs/>
          <w:sz w:val="20"/>
          <w:szCs w:val="20"/>
        </w:rPr>
        <w:t xml:space="preserve">What variables or parameters are involved in the hypothesis and how do they affect each other?</w:t>
      </w:r>
    </w:p>
    <w:p>
      <w:pPr>
        <w:spacing w:after="120"/>
      </w:pPr>
      <w:r>
        <w:rPr>
          <w:b w:val="false"/>
          <w:bCs w:val="false"/>
          <w:sz w:val="20"/>
          <w:szCs w:val="20"/>
        </w:rPr>
        <w:t xml:space="preserve">The primary variables are: (A) thermal throttling strategy (Fixed S1/PID S2/Predictive S3); (B) ferrite material configuration (Rigid M1/Flexible M2/Segmented M3); (C) BLE coexistence mode (Continuous X1/Burst X2/Charge-Gated X3). These interact: the thermal strategy affects the power level presented to the coil, which affects both charging efficiency and the EMI field intensity seen by the BLE antenna and the MLX90393 sensor. Secondary variables include PID gains (Kp, Ki, Kd), curvature radius (mm), coil distance (mm), BLE advertising interval (ms), and BLE TX power (dBm).</w:t>
      </w:r>
    </w:p>
    <w:p>
      <w:r>
        <w:t xml:space="preserve"/>
      </w:r>
    </w:p>
    <w:p>
      <w:pPr>
        <w:spacing w:after="120"/>
      </w:pPr>
      <w:r>
        <w:rPr>
          <w:b/>
          <w:bCs/>
          <w:sz w:val="20"/>
          <w:szCs w:val="20"/>
        </w:rPr>
        <w:t xml:space="preserve">How will the hypothesis be measured in the experiment?</w:t>
      </w:r>
    </w:p>
    <w:p>
      <w:pPr>
        <w:spacing w:after="120"/>
      </w:pPr>
      <w:r>
        <w:rPr>
          <w:b w:val="false"/>
          <w:bCs w:val="false"/>
          <w:sz w:val="20"/>
          <w:szCs w:val="20"/>
        </w:rPr>
        <w:t xml:space="preserve">Hypothesis A: Surface temperature via IR thermometer at 5 wrist contact points; charging efficiency via input/output power ratio; time-above-38°C (seconds over 2hr session). Hypothesis B: Charging efficiency at 5mm coil distance and 40mm curvature radius via power meter; EMI attenuation via network analyser S21 measurement; peak temperature. Hypothesis C: Charging efficiency delta (BLE active vs BLE off baseline); MLX90393 noise floor increase (µT RMS) with BLE transmitting; BLE packet delivery ratio; status notification latency (ms).</w:t>
      </w:r>
    </w:p>
    <w:p>
      <w:r>
        <w:t xml:space="preserve"/>
      </w:r>
    </w:p>
    <w:p>
      <w:pPr>
        <w:spacing w:after="120"/>
      </w:pPr>
      <w:r>
        <w:rPr>
          <w:b/>
          <w:bCs/>
          <w:sz w:val="20"/>
          <w:szCs w:val="20"/>
        </w:rPr>
        <w:t xml:space="preserve">How can the hypothesis be validated? How can it be nullified?</w:t>
      </w:r>
    </w:p>
    <w:p>
      <w:pPr>
        <w:spacing w:after="120"/>
      </w:pPr>
      <w:r>
        <w:rPr>
          <w:b w:val="false"/>
          <w:bCs w:val="false"/>
          <w:sz w:val="20"/>
          <w:szCs w:val="20"/>
        </w:rPr>
        <w:t xml:space="preserve">Hypotheses are validated if: (A) at least one thermal strategy maintains peak temperature ≤38°C over 2hr with efficiency ≥70%; (B) flexible ferrite achieves ≥70% efficiency at 40mm curvature with attenuation ≥ rigid baseline; (C) at least one BLE mode delivers &lt;±3% efficiency delta with ≥95% packet delivery and &lt;5µT noise increase. Hypotheses are nullified if no thermal strategy can simultaneously meet temperature and efficiency targets, if flexible ferrite cannot maintain ≥70% at the required curvature, or if all three BLE modes cause efficiency degradation exceeding ±3%.</w:t>
      </w:r>
    </w:p>
    <w:p>
      <w:r>
        <w:t xml:space="preserve"/>
      </w:r>
    </w:p>
    <w:p>
      <w:pPr>
        <w:pStyle w:val="Heading2"/>
      </w:pPr>
      <w:r>
        <w:rPr>
          <w:b/>
          <w:bCs/>
          <w:sz w:val="24"/>
          <w:szCs w:val="24"/>
        </w:rPr>
        <w:t xml:space="preserve">Generation of New Knowledge</w:t>
      </w:r>
    </w:p>
    <w:p>
      <w:pPr>
        <w:spacing w:after="80"/>
      </w:pPr>
      <w:r>
        <w:rPr>
          <w:b/>
          <w:bCs/>
          <w:sz w:val="20"/>
          <w:szCs w:val="20"/>
        </w:rPr>
        <w:t xml:space="preserve">A. </w:t>
      </w:r>
      <w:r>
        <w:rPr>
          <w:sz w:val="20"/>
          <w:szCs w:val="20"/>
        </w:rPr>
        <w:t xml:space="preserve">Was this activity undertaken for the main purpose of generating new knowledge? Y</w:t>
      </w:r>
    </w:p>
    <w:p>
      <w:r>
        <w:t xml:space="preserve"/>
      </w:r>
    </w:p>
    <w:p>
      <w:pPr>
        <w:spacing w:after="120"/>
      </w:pPr>
      <w:r>
        <w:rPr>
          <w:b/>
          <w:bCs/>
          <w:sz w:val="20"/>
          <w:szCs w:val="20"/>
        </w:rPr>
        <w:t xml:space="preserve">B. What New Knowledge was this Core Activity intended to produce?</w:t>
      </w:r>
    </w:p>
    <w:p>
      <w:pPr>
        <w:spacing w:after="120"/>
      </w:pPr>
      <w:r>
        <w:rPr>
          <w:b w:val="false"/>
          <w:bCs w:val="false"/>
          <w:sz w:val="20"/>
          <w:szCs w:val="20"/>
        </w:rPr>
        <w:t xml:space="preserve">This activity generated new knowledge in the simultaneous resolution of three interdependent electromagnetic and thermal engineering challenges in a compact child-safe wearable charging system: (i) firmware-based thermal control for skin-safe inductive charging at wearable power levels; (ii) flexible ferrite composite shielding behaviour in curved wearable geometries at 80–125kHz; and (iii) BLE-inductive coexistence at sub-centimetre separation in a wrist-worn device. The interaction between these three systems in a compact wearable housing had not been characterised in existing literature and could not be resolved by adapting published solutions from smartphone charging, industrial wireless power, or rigid medical implant charging systems.</w:t>
      </w:r>
    </w:p>
    <w:p>
      <w:r>
        <w:t xml:space="preserve"/>
      </w:r>
    </w:p>
    <w:p>
      <w:pPr>
        <w:pStyle w:val="Heading2"/>
      </w:pPr>
      <w:r>
        <w:rPr>
          <w:b/>
          <w:bCs/>
          <w:sz w:val="24"/>
          <w:szCs w:val="24"/>
        </w:rPr>
        <w:t xml:space="preserve">Outcome Unknown</w:t>
      </w:r>
    </w:p>
    <w:p>
      <w:pPr>
        <w:spacing w:after="120"/>
      </w:pPr>
      <w:r>
        <w:rPr>
          <w:b/>
          <w:bCs/>
          <w:sz w:val="20"/>
          <w:szCs w:val="20"/>
        </w:rPr>
        <w:t xml:space="preserve">A. How was it determined that the outcome of the activity could not be known in advance?</w:t>
      </w:r>
    </w:p>
    <w:p>
      <w:pPr>
        <w:spacing w:after="120"/>
      </w:pPr>
      <w:r>
        <w:rPr>
          <w:b w:val="false"/>
          <w:bCs w:val="false"/>
          <w:sz w:val="20"/>
          <w:szCs w:val="20"/>
        </w:rPr>
        <w:t xml:space="preserve">✓  There was no applicable information in scientific, technical professional literature or patents</w:t>
      </w:r>
    </w:p>
    <w:p>
      <w:pPr>
        <w:spacing w:after="120"/>
      </w:pPr>
      <w:r>
        <w:rPr>
          <w:b w:val="false"/>
          <w:bCs w:val="false"/>
          <w:sz w:val="20"/>
          <w:szCs w:val="20"/>
        </w:rPr>
        <w:t xml:space="preserve">✓  Experts in the field provided advice that there wasn’t a solution that could be applied</w:t>
      </w:r>
    </w:p>
    <w:p>
      <w:pPr>
        <w:spacing w:after="120"/>
      </w:pPr>
      <w:r>
        <w:rPr>
          <w:b w:val="false"/>
          <w:bCs w:val="false"/>
          <w:sz w:val="20"/>
          <w:szCs w:val="20"/>
        </w:rPr>
        <w:t xml:space="preserve">✓  There wasn’t a way to adapt solutions from other companies in and out of Australia</w:t>
      </w:r>
    </w:p>
    <w:p>
      <w:r>
        <w:t xml:space="preserve"/>
      </w:r>
    </w:p>
    <w:p>
      <w:pPr>
        <w:spacing w:after="120"/>
      </w:pPr>
      <w:r>
        <w:rPr>
          <w:b w:val="false"/>
          <w:bCs w:val="false"/>
          <w:sz w:val="20"/>
          <w:szCs w:val="20"/>
        </w:rPr>
        <w:t xml:space="preserve">The FY2025 experiment explicitly concluded that the knowledge gap in optimising flexible coil design for enhanced efficiency and heat dissipation in compact wearables was unresolved, with the experiment approximately 90% complete. The three remaining challenges could not be resolved independently — their interaction in a single compact device produces emergent electromagnetic behaviour not predictable from individual component specifications.</w:t>
      </w:r>
    </w:p>
    <w:p>
      <w:r>
        <w:t xml:space="preserve"/>
      </w:r>
    </w:p>
    <w:p>
      <w:pPr>
        <w:spacing w:after="120"/>
      </w:pPr>
      <w:r>
        <w:rPr>
          <w:b/>
          <w:bCs/>
          <w:sz w:val="20"/>
          <w:szCs w:val="20"/>
        </w:rPr>
        <w:t xml:space="preserve">B. Explain what sources were investigated.</w:t>
      </w:r>
    </w:p>
    <w:p>
      <w:pPr>
        <w:spacing w:after="120"/>
      </w:pPr>
      <w:r>
        <w:rPr>
          <w:b w:val="false"/>
          <w:bCs w:val="false"/>
          <w:sz w:val="20"/>
          <w:szCs w:val="20"/>
        </w:rPr>
        <w:t xml:space="preserve">We reviewed the Wireless Power Consortium Qi specification (versions 1.2–1.3), IEEE Transactions on Power Electronics articles on compact inductive charging, Melexis application notes on EMI shielding for Hall-effect sensors, and academic literature on flexible ferrite composites (IEEE Transactions on Magnetics). Key findings: Qi efficiency specifications apply to coil geometries larger than the Zemi module; flexible ferrite composite EMI attenuation data is published only for flat geometries; no published BLE-inductive coexistence characterisation exists at sub-centimetre separations for wearable devices; and thermal management firmware for skin-contact charging is addressed in medical device literature with different regulatory frameworks and form factors.</w:t>
      </w:r>
    </w:p>
    <w:p>
      <w:r>
        <w:t xml:space="preserve"/>
      </w:r>
    </w:p>
    <w:p>
      <w:pPr>
        <w:pStyle w:val="Heading2"/>
      </w:pPr>
      <w:r>
        <w:rPr>
          <w:b/>
          <w:bCs/>
          <w:sz w:val="24"/>
          <w:szCs w:val="24"/>
        </w:rPr>
        <w:t xml:space="preserve">Experimentation</w:t>
      </w:r>
    </w:p>
    <w:p>
      <w:pPr>
        <w:spacing w:after="120"/>
      </w:pPr>
      <w:r>
        <w:rPr>
          <w:b/>
          <w:bCs/>
          <w:sz w:val="20"/>
          <w:szCs w:val="20"/>
        </w:rPr>
        <w:t xml:space="preserve">What was the experiment and how did it test the hypothesis?</w:t>
      </w:r>
    </w:p>
    <w:p>
      <w:pPr>
        <w:spacing w:after="120"/>
      </w:pPr>
      <w:r>
        <w:rPr>
          <w:b w:val="false"/>
          <w:bCs w:val="false"/>
          <w:sz w:val="20"/>
          <w:szCs w:val="20"/>
        </w:rPr>
        <w:t xml:space="preserve">Our experiment was a 3-phase program testing three independent but interacting variables (thermal strategy, ferrite material, BLE mode), each with three implementations, forming three parallel 3-way experimental tracks that were integrated in Phase 3.</w:t>
      </w:r>
    </w:p>
    <w:p>
      <w:r>
        <w:t xml:space="preserve"/>
      </w:r>
    </w:p>
    <w:p>
      <w:pPr>
        <w:spacing w:after="120"/>
      </w:pPr>
      <w:r>
        <w:rPr>
          <w:b/>
          <w:bCs/>
          <w:sz w:val="20"/>
          <w:szCs w:val="20"/>
        </w:rPr>
        <w:t xml:space="preserve">How was the experiment conducted?</w:t>
      </w:r>
    </w:p>
    <w:p>
      <w:pPr>
        <w:spacing w:after="120"/>
      </w:pPr>
      <w:r>
        <w:rPr>
          <w:b/>
          <w:bCs/>
          <w:sz w:val="20"/>
          <w:szCs w:val="20"/>
        </w:rPr>
        <w:t xml:space="preserve">Experiment 2.1 — Thermal Management Strategies</w:t>
      </w:r>
    </w:p>
    <w:p>
      <w:pPr>
        <w:spacing w:after="120"/>
      </w:pPr>
      <w:r>
        <w:rPr>
          <w:b w:val="false"/>
          <w:bCs w:val="false"/>
          <w:sz w:val="20"/>
          <w:szCs w:val="20"/>
        </w:rPr>
        <w:t xml:space="preserve">Three strategies: S1 (Fixed Ceiling, tagged ca2-exp2.1-s1-fixed), S2 (PID Controller, tagged ca2-exp2.1-s2-pid), S3 (Predictive Ramp measuring dT/dt over 30s rolling window, tagged ca2-exp2.1-s3-predictive). S3 is the most novel — no equivalent firmware architecture has been published for compact wearable inductive charging. Each strategy was run for 2-hour test sessions with IR thermometer readings at 5 wrist contact points logged at 1Hz.</w:t>
      </w:r>
    </w:p>
    <w:p>
      <w:r>
        <w:t xml:space="preserve"/>
      </w:r>
    </w:p>
    <w:p>
      <w:pPr>
        <w:spacing w:after="120"/>
      </w:pPr>
      <w:r>
        <w:rPr>
          <w:b/>
          <w:bCs/>
          <w:sz w:val="20"/>
          <w:szCs w:val="20"/>
        </w:rPr>
        <w:t xml:space="preserve">Experiment 2.2 — Flexible Ferrite Material Configurations</w:t>
      </w:r>
    </w:p>
    <w:p>
      <w:pPr>
        <w:spacing w:after="120"/>
      </w:pPr>
      <w:r>
        <w:rPr>
          <w:b w:val="false"/>
          <w:bCs w:val="false"/>
          <w:sz w:val="20"/>
          <w:szCs w:val="20"/>
        </w:rPr>
        <w:t xml:space="preserve">Three configurations: M1 (Rigid Ferrite Baseline, tagged ca2-exp2.2-m1-rigid), M2 (Flexible Ferrite Composite curved to 40mm radius, tagged ca2-exp2.2-m2-flexible), M3 (Segmented Rigid Tiles with flexible interconnects, tagged ca2-exp2.2-m3-segmented). Each configuration measured for charging efficiency at 0mm, 5mm, 10mm coil distances; S21 attenuation; EMI leakage at 50mm; peak surface temperature; and mechanical durability (100-cycle bend test at 40mm radius).</w:t>
      </w:r>
    </w:p>
    <w:p>
      <w:r>
        <w:t xml:space="preserve"/>
      </w:r>
    </w:p>
    <w:p>
      <w:pPr>
        <w:spacing w:after="120"/>
      </w:pPr>
      <w:r>
        <w:rPr>
          <w:b/>
          <w:bCs/>
          <w:sz w:val="20"/>
          <w:szCs w:val="20"/>
        </w:rPr>
        <w:t xml:space="preserve">Experiment 2.3 — BLE Coexistence Modes</w:t>
      </w:r>
    </w:p>
    <w:p>
      <w:pPr>
        <w:spacing w:after="120"/>
      </w:pPr>
      <w:r>
        <w:rPr>
          <w:b w:val="false"/>
          <w:bCs w:val="false"/>
          <w:sz w:val="20"/>
          <w:szCs w:val="20"/>
        </w:rPr>
        <w:t xml:space="preserve">Three modes: X1 (Continuous BLE, tagged ca2-exp2.3-x1-continuous), X2 (Burst BLE, tagged ca2-exp2.3-x2-burst), X3 (Charge-Gated Zero-Crossing BLE — firmware-gated to the inductive coil zero-crossing window of &lt;3µs per 8µs coil period at 125kHz, tagged ca2-exp2.3-x3-gated). X3 is the most novel mode; it requires a zero-crossing interrupt from the BQ500212A transmitter IC and has no published precedent for wearable inductive charging.</w:t>
      </w:r>
    </w:p>
    <w:p>
      <w:r>
        <w:t xml:space="preserve"/>
      </w:r>
    </w:p>
    <w:p>
      <w:pPr>
        <w:spacing w:after="120"/>
      </w:pPr>
      <w:r>
        <w:rPr>
          <w:b/>
          <w:bCs/>
          <w:sz w:val="20"/>
          <w:szCs w:val="20"/>
        </w:rPr>
        <w:t xml:space="preserve">Phase 3 — Integrated Concurrent Testing (Days 5–38, May–June 2026)</w:t>
      </w:r>
    </w:p>
    <w:p>
      <w:pPr>
        <w:spacing w:after="120"/>
      </w:pPr>
      <w:r>
        <w:rPr>
          <w:b w:val="false"/>
          <w:bCs w:val="false"/>
          <w:sz w:val="20"/>
          <w:szCs w:val="20"/>
        </w:rPr>
        <w:t xml:space="preserve">S3+M2+X3 and S3+M3+X3 integrated systems tested concurrently. Cross-system interaction analysis conducted for S3 vs X3 scheduling (zero conflicts confirmed), M2 curvature vs X3 gate timing (+1.2kHz frequency shift, &lt;3µs gate timing maintained), and MLX90393 noise under concurrent CA2 operation (+2.1µT RMS, within &lt;5µT CA1 tolerance). Mechanical durability (100-cycle bend tests) completed. Phase 4 production review completed including BOM v1.0 finalisation, AS/NZS 8124 compliance, and IP67 validation.</w:t>
      </w:r>
    </w:p>
    <w:p>
      <w:r>
        <w:t xml:space="preserve"/>
      </w:r>
    </w:p>
    <w:p>
      <w:pPr>
        <w:pStyle w:val="Heading2"/>
      </w:pPr>
      <w:r>
        <w:rPr>
          <w:b/>
          <w:bCs/>
          <w:sz w:val="24"/>
          <w:szCs w:val="24"/>
        </w:rPr>
        <w:t xml:space="preserve">Results &amp; Evaluation</w:t>
      </w:r>
    </w:p>
    <w:p>
      <w:pPr>
        <w:spacing w:after="120"/>
      </w:pPr>
      <w:r>
        <w:rPr>
          <w:b/>
          <w:bCs/>
          <w:sz w:val="20"/>
          <w:szCs w:val="20"/>
        </w:rPr>
        <w:t xml:space="preserve">What were the results of the experimentation?</w:t>
      </w:r>
    </w:p>
    <w:p>
      <w:pPr>
        <w:spacing w:after="120"/>
      </w:pPr>
      <w:r>
        <w:rPr>
          <w:b w:val="false"/>
          <w:bCs w:val="false"/>
          <w:sz w:val="20"/>
          <w:szCs w:val="20"/>
        </w:rPr>
        <w:t xml:space="preserve">All phases are complete as of 30 June 2026. Key quantitative results: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80"/>
        <w:gridCol w:w="1580"/>
        <w:gridCol w:w="1600"/>
      </w:tblGrid>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Day / Tag</w:t>
            </w:r>
          </w:p>
        </w:tc>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Type</w:t>
            </w:r>
          </w:p>
        </w:tc>
        <w:tc>
          <w:tcPr>
            <w:tcW w:type="dxa" w:w="15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Peak Temp</w:t>
            </w:r>
          </w:p>
        </w:tc>
        <w:tc>
          <w:tcPr>
            <w:tcW w:type="dxa" w:w="15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Efficiency</w:t>
            </w:r>
          </w:p>
        </w:tc>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X3 Delta / PDR</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5  ca2-p3b-session1-run</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S3+M2+X3 2hr run</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36.6°C ✓</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72.3% ✓</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-0.4% / 98.2%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7  ca2-p3b-session2-run</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S3+M3+X3 2hr run</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36.4°C ✓</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75.1% ✓</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-0.5% / 98.4%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10  ca2-p3b-session3-run</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Elevated ambient 24.1°C</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37.1°C ✓</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71.8% ✓</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-0.5% / 98.1%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11  ca2-p3b-interaction-01</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S3 vs X3 scheduling</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Zero conflicts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12  ca2-p3b-interaction-02</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M2 curvature vs X3 gate</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-0.3% ✓</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+1.2kHz shift / &lt;3µs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13  ca2-p3b-interaction-03</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Full concurrent MLX noise</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+2.1µT RMS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4  IP67 / AS/NZS 8124</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Production compliance</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 ✓</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BOM v1.0 finalised</w:t>
            </w:r>
          </w:p>
        </w:tc>
      </w:tr>
    </w:tbl>
    <w:p>
      <w:r>
        <w:t xml:space="preserve"/>
      </w:r>
    </w:p>
    <w:p>
      <w:pPr>
        <w:spacing w:after="120"/>
      </w:pPr>
      <w:r>
        <w:rPr>
          <w:b/>
          <w:bCs/>
          <w:sz w:val="20"/>
          <w:szCs w:val="20"/>
        </w:rPr>
        <w:t xml:space="preserve">How were the results evaluated?</w:t>
      </w:r>
    </w:p>
    <w:p>
      <w:pPr>
        <w:spacing w:after="120"/>
      </w:pPr>
      <w:r>
        <w:rPr>
          <w:b w:val="false"/>
          <w:bCs w:val="false"/>
          <w:sz w:val="20"/>
          <w:szCs w:val="20"/>
        </w:rPr>
        <w:t xml:space="preserve">Results were evaluated against six success criteria: peak temperature ≤38°C; efficiency ≥70%; flexible ferrite efficiency ≥70% at 40mm curvature; BLE efficiency delta ≤±3%; BLE PDR ≥95%; MLX90393 noise increase &lt;5µT RMS. All six criteria were met.</w:t>
      </w:r>
    </w:p>
    <w:p>
      <w:r>
        <w:t xml:space="preserve"/>
      </w:r>
    </w:p>
    <w:p>
      <w:pPr>
        <w:spacing w:after="120"/>
      </w:pPr>
      <w:r>
        <w:rPr>
          <w:b/>
          <w:bCs/>
          <w:sz w:val="20"/>
          <w:szCs w:val="20"/>
        </w:rPr>
        <w:t xml:space="preserve">What was the evaluation/analysis based on the results?</w:t>
      </w:r>
    </w:p>
    <w:p>
      <w:pPr>
        <w:spacing w:after="120"/>
      </w:pPr>
      <w:r>
        <w:rPr>
          <w:b w:val="false"/>
          <w:bCs w:val="false"/>
          <w:sz w:val="20"/>
          <w:szCs w:val="20"/>
        </w:rPr>
        <w:t xml:space="preserve">The S3 (Predictive Ramp) thermal strategy, combined with either M2 (Flexible Ferrite) or M3 (Segmented Tiles), and X3 (Charge-Gated Zero-Crossing) BLE mode, met all production requirements. The elevated ambient temperature session (Day 10, 24.1°C ambient) demonstrated that S3’s dT/dt predictive approach maintained thermal safety even under worst-case conditions. The X3 zero-crossing BLE gate is confirmed as a novel firmware architecture with no published precedent, and its characterisation across all cross-system interaction tests constitutes new knowledge.</w:t>
      </w:r>
    </w:p>
    <w:p>
      <w:r>
        <w:t xml:space="preserve"/>
      </w:r>
    </w:p>
    <w:p>
      <w:pPr>
        <w:pStyle w:val="Heading2"/>
      </w:pPr>
      <w:r>
        <w:rPr>
          <w:b/>
          <w:bCs/>
          <w:sz w:val="24"/>
          <w:szCs w:val="24"/>
        </w:rPr>
        <w:t xml:space="preserve">Conclusion</w:t>
      </w:r>
    </w:p>
    <w:p>
      <w:pPr>
        <w:spacing w:after="120"/>
      </w:pPr>
      <w:r>
        <w:rPr>
          <w:b/>
          <w:bCs/>
          <w:sz w:val="20"/>
          <w:szCs w:val="20"/>
        </w:rPr>
        <w:t xml:space="preserve">What conclusions were reached?</w:t>
      </w:r>
    </w:p>
    <w:p>
      <w:pPr>
        <w:spacing w:after="120"/>
      </w:pPr>
      <w:r>
        <w:rPr>
          <w:b w:val="false"/>
          <w:bCs w:val="false"/>
          <w:sz w:val="20"/>
          <w:szCs w:val="20"/>
        </w:rPr>
        <w:t xml:space="preserve">All phases of the CA2 experimental program are complete as of 30 June 2026. The production firmware S3+X3 is locked and validated. Hypothesis A is validated: S3 maintained peak temperature at or below 37.1°C across all sessions including elevated ambient, well within the ≤38°C target, while maintaining ≥70% charging efficiency. Hypothesis B is validated: both M2 and M3 achieved ≥70% efficiency at 40mm curvature (72.3% and 75.1% respectively), exceeding the rigid baseline at the required geometry. Hypothesis C is validated: the X3 charge-gated zero-crossing BLE mode achieved -0.5% efficiency delta (within ±3%) with ≥98% packet delivery ratio and +2.1µT MLX90393 noise increase (within the &lt;5µT threshold). BOM v1.0, AS/NZS 8124 compliance, and IP67 validation are all confirmed.</w:t>
      </w:r>
    </w:p>
    <w:p>
      <w:r>
        <w:t xml:space="preserve"/>
      </w:r>
    </w:p>
    <w:p>
      <w:pPr>
        <w:spacing w:after="120"/>
      </w:pPr>
      <w:r>
        <w:rPr>
          <w:b/>
          <w:bCs/>
          <w:sz w:val="20"/>
          <w:szCs w:val="20"/>
        </w:rPr>
        <w:t xml:space="preserve">How do the conclusions validate/nullify the hypothesis?</w:t>
      </w:r>
    </w:p>
    <w:p>
      <w:pPr>
        <w:spacing w:after="120"/>
      </w:pPr>
      <w:r>
        <w:rPr>
          <w:b w:val="false"/>
          <w:bCs w:val="false"/>
          <w:sz w:val="20"/>
          <w:szCs w:val="20"/>
        </w:rPr>
        <w:t xml:space="preserve">All three hypotheses are validated. The three unresolved elements from FY2025 have been simultaneously resolved in the Zemi wristband form factor: the S3 predictive thermal strategy achieves skin-safe charging without efficiency sacrifice; flexible ferrite composites maintain adequate shielding and efficiency in curved wristband geometry; and the X3 zero-crossing BLE gate coexists with 125kHz inductive charging without material degradation of either system. The cross-system interaction testing in Phase 3 confirmed that these systems operate without adverse compound effects when run concurrently.</w:t>
      </w:r>
    </w:p>
    <w:p>
      <w:r>
        <w:t xml:space="preserve"/>
      </w:r>
    </w:p>
    <w:p>
      <w:pPr>
        <w:spacing w:after="120"/>
      </w:pPr>
      <w:r>
        <w:rPr>
          <w:b/>
          <w:bCs/>
          <w:sz w:val="20"/>
          <w:szCs w:val="20"/>
        </w:rPr>
        <w:t xml:space="preserve">Does the conclusion indicate that the knowledge gap or technical challenge was resolved?</w:t>
      </w:r>
    </w:p>
    <w:p>
      <w:pPr>
        <w:spacing w:after="120"/>
      </w:pPr>
      <w:r>
        <w:rPr>
          <w:b w:val="false"/>
          <w:bCs w:val="false"/>
          <w:sz w:val="20"/>
          <w:szCs w:val="20"/>
        </w:rPr>
        <w:t xml:space="preserve">Yes. The knowledge gap identified in FY2025 — specifically, whether thermal management firmware can simultaneously maintain ≤38°C and ≥70% efficiency, whether flexible ferrite composites maintain adequate shielding at 40mm curvature, and whether BLE can coexist with 125kHz inductive charging — has been fully resolved. The X3 charge-gated zero-crossing architecture, confirmed through Phase 3 concurrent testing, represents genuinely new knowledge with no precedent in published wearable charging literature.</w:t>
      </w:r>
    </w:p>
    <w:p>
      <w:r>
        <w:t xml:space="preserve"/>
      </w:r>
    </w:p>
    <w:p>
      <w:pPr>
        <w:pStyle w:val="Heading2"/>
      </w:pPr>
      <w:r>
        <w:rPr>
          <w:b/>
          <w:bCs/>
          <w:sz w:val="24"/>
          <w:szCs w:val="24"/>
        </w:rPr>
        <w:t xml:space="preserve">Supporting Records</w:t>
      </w:r>
    </w:p>
    <w:p>
      <w:pPr>
        <w:spacing w:after="120"/>
      </w:pPr>
      <w:r>
        <w:rPr>
          <w:b/>
          <w:bCs/>
          <w:sz w:val="20"/>
          <w:szCs w:val="20"/>
        </w:rPr>
        <w:t xml:space="preserve">A. What evidence did the entity keep about this activity? Select all that apply:</w:t>
      </w:r>
    </w:p>
    <w:p>
      <w:pPr>
        <w:spacing w:after="120"/>
      </w:pPr>
      <w:r>
        <w:rPr>
          <w:b w:val="false"/>
          <w:bCs w:val="false"/>
          <w:sz w:val="20"/>
          <w:szCs w:val="20"/>
        </w:rPr>
        <w:t xml:space="preserve">✓  Evidence of information that was looked at and enquiries that were made to find existing knowledge</w:t>
      </w:r>
    </w:p>
    <w:p>
      <w:pPr>
        <w:spacing w:after="120"/>
      </w:pPr>
      <w:r>
        <w:rPr>
          <w:b w:val="false"/>
          <w:bCs w:val="false"/>
          <w:sz w:val="20"/>
          <w:szCs w:val="20"/>
        </w:rPr>
        <w:t xml:space="preserve">✓  Evidence showing that conducting the core activity was the only way to generate the new knowledge</w:t>
      </w:r>
    </w:p>
    <w:p>
      <w:pPr>
        <w:spacing w:after="120"/>
      </w:pPr>
      <w:r>
        <w:rPr>
          <w:b w:val="false"/>
          <w:bCs w:val="false"/>
          <w:sz w:val="20"/>
          <w:szCs w:val="20"/>
        </w:rPr>
        <w:t xml:space="preserve">✓  Document(s) outlining the design of the hypothesis and experiment(s)</w:t>
      </w:r>
    </w:p>
    <w:p>
      <w:pPr>
        <w:spacing w:after="120"/>
      </w:pPr>
      <w:r>
        <w:rPr>
          <w:b w:val="false"/>
          <w:bCs w:val="false"/>
          <w:sz w:val="20"/>
          <w:szCs w:val="20"/>
        </w:rPr>
        <w:t xml:space="preserve">✓  Documented results and evaluation of the experiment</w:t>
      </w:r>
    </w:p>
    <w:p>
      <w:pPr>
        <w:spacing w:after="120"/>
      </w:pPr>
      <w:r>
        <w:rPr>
          <w:b w:val="false"/>
          <w:bCs w:val="false"/>
          <w:sz w:val="20"/>
          <w:szCs w:val="20"/>
        </w:rPr>
        <w:t xml:space="preserve">✓  GitHub repository commit history with dated, tagged firmware iterations (tkhdwyer82/Zemi-rnd) — 86 daily commits across Days 1–61</w:t>
      </w:r>
    </w:p>
    <w:p>
      <w:pPr>
        <w:spacing w:after="120"/>
      </w:pPr>
      <w:r>
        <w:rPr>
          <w:b w:val="false"/>
          <w:bCs w:val="false"/>
          <w:sz w:val="20"/>
          <w:szCs w:val="20"/>
        </w:rPr>
        <w:t xml:space="preserve">✓  Firmware experiment log: firmware/core_activity_2_inductive_charging/docs/experiment_log.md</w:t>
      </w:r>
    </w:p>
    <w:p>
      <w:pPr>
        <w:spacing w:after="120"/>
      </w:pPr>
      <w:r>
        <w:rPr>
          <w:b w:val="false"/>
          <w:bCs w:val="false"/>
          <w:sz w:val="20"/>
          <w:szCs w:val="20"/>
        </w:rPr>
        <w:t xml:space="preserve">✓  UART session logs and thermal data logs: raw firmware output per test session with timestamps</w:t>
      </w:r>
    </w:p>
    <w:p>
      <w:pPr>
        <w:spacing w:after="120"/>
      </w:pPr>
      <w:r>
        <w:rPr>
          <w:b w:val="false"/>
          <w:bCs w:val="false"/>
          <w:sz w:val="20"/>
          <w:szCs w:val="20"/>
        </w:rPr>
        <w:t xml:space="preserve">✓  Daily timesheets cross-referenced to Core Activity 2 (CA2: 8h/day across 61 days = 488h total)</w:t>
      </w:r>
    </w:p>
    <w:p>
      <w:pPr>
        <w:spacing w:after="120"/>
      </w:pPr>
      <w:r>
        <w:rPr>
          <w:b w:val="false"/>
          <w:bCs w:val="false"/>
          <w:sz w:val="20"/>
          <w:szCs w:val="20"/>
        </w:rPr>
        <w:t xml:space="preserve">✓  ClickUp task records: per-day task entries with activity codes, Slack thread references, and Git tags</w:t>
      </w:r>
    </w:p>
    <w:p>
      <w:pPr>
        <w:spacing w:after="120"/>
      </w:pPr>
      <w:r>
        <w:rPr>
          <w:b w:val="false"/>
          <w:bCs w:val="false"/>
          <w:sz w:val="20"/>
          <w:szCs w:val="20"/>
        </w:rPr>
        <w:t xml:space="preserve">✓  Slack conversation records (Tim Dwyer + Lukas Kovac): daily contemporaneous technical discussion</w:t>
      </w:r>
    </w:p>
    <w:p>
      <w:pPr>
        <w:spacing w:after="120"/>
      </w:pPr>
      <w:r>
        <w:rPr>
          <w:b w:val="false"/>
          <w:bCs w:val="false"/>
          <w:sz w:val="20"/>
          <w:szCs w:val="20"/>
        </w:rPr>
        <w:t xml:space="preserve">✓  Weekly tax invoices INV-TKD-2026-W01 through W09 specifying CA2 activity codes and Git tags</w:t>
      </w:r>
    </w:p>
    <w:p>
      <w:pPr>
        <w:spacing w:after="120"/>
      </w:pPr>
      <w:r>
        <w:rPr>
          <w:b w:val="false"/>
          <w:bCs w:val="false"/>
          <w:sz w:val="20"/>
          <w:szCs w:val="20"/>
        </w:rPr>
        <w:t xml:space="preserve">✓  FY2025 Innercode R&amp;D submission (Core Activity Two) providing prior-year baseline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666666"/>
                <w:sz w:val="16"/>
                <w:szCs w:val="16"/>
              </w:rPr>
              <w:t xml:space="preserve">Zemi Pty Ltd  |  ABN: 54 664 363 277  |  R&amp;D Tax Incentive — Section 355 ITAA 1997  |  Innercode Ref: ZEM-01  |  Income Year FY2026</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2026-06-14T00:42:49.432Z</dcterms:created>
  <dcterms:modified xsi:type="dcterms:W3CDTF">2026-06-14T00:42:49.432Z</dcterms:modified>
</cp:coreProperties>
</file>

<file path=docProps/custom.xml><?xml version="1.0" encoding="utf-8"?>
<Properties xmlns="http://schemas.openxmlformats.org/officeDocument/2006/custom-properties" xmlns:vt="http://schemas.openxmlformats.org/officeDocument/2006/docPropsVTypes"/>
</file>